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</w:t>
      </w:r>
    </w:p>
    <w:p>
      <w:r>
        <w:t>WOW</w:t>
      </w:r>
    </w:p>
    <w:p>
      <w:pPr>
        <w:pStyle w:val="Heading1"/>
      </w:pPr>
      <w:r>
        <w:t>Dictamen Del Tribunal</w:t>
      </w:r>
    </w:p>
    <w:p>
      <w:pPr>
        <w:pStyle w:val="Heading2"/>
      </w:pPr>
      <w:r>
        <w:t>Debate Gatillo Vs Filtro</w:t>
      </w:r>
    </w:p>
    <w:p>
      <w:r>
        <w:t>El gatillo de entrada al mercado es una mentalidad de inversión (J02), buscando rentabilizar un capital disponible. Sin embargo, el filtro de selección es 100% dominado por la necesidad de reconfigurar la vivienda familiar (J04). Los criterios de elección (amenities para los hijos, ubicación, tamaño) responden a la nueva dinámica familiar, no a una optimización de inversión.</w:t>
      </w:r>
    </w:p>
    <w:p>
      <w:pPr>
        <w:pStyle w:val="Heading2"/>
      </w:pPr>
      <w:r>
        <w:t>Debate Deal Breaker</w:t>
      </w:r>
    </w:p>
    <w:p>
      <w:r>
        <w:t>El factor innegociable era la adecuación de la propiedad a la estructura y necesidades de la familia. Una propiedad que no sirviera como futuro hogar familiar, que no tuviera las áreas comunes para los hijos (tenis) y nietos (juegos), o que no estuviera cerca de la universidad, habría sido descartada, incluso si era una buena inversión en papel.</w:t>
      </w:r>
    </w:p>
    <w:p>
      <w:pPr>
        <w:pStyle w:val="Heading2"/>
      </w:pPr>
      <w:r>
        <w:t>Candidatos Evaluados</w:t>
      </w:r>
    </w:p>
    <w:p>
      <w:r>
        <w:t>- {'codigo_y_nombre_job': 'J04: Acompañar el crecimiento familiar', 'citas_textuales_evidencia': ['Para el departamento, pensamos un principio para mi hijo.', 'vamos a ir a vivir porque queremos... Ya está en venta la casa.', 'El área de tenis también parece que me...'], 'es_gatillo_entrada': False, 'es_filtro_seleccion': True, 'test_deal_breaker': 'No, sin la necesidad de adaptar la vivienda a la nueva etapa de la familia (hijo independizándose, downsizing de la casa), no hubieran comprado esta propiedad específica.'}</w:t>
      </w:r>
    </w:p>
    <w:p>
      <w:r>
        <w:t>- {'codigo_y_nombre_job': 'J02: Proteger y flexibilizar el patrimonio', 'citas_textuales_evidencia': ['quisimos comprar como para, para inversión.', 'Si yo no vendo el de mi casa... yo lo podría alquilar y no, yo no lo veo ahí este mal inversión.', 'compramos un, este, una tienda comercial.'], 'es_gatillo_entrada': True, 'es_filtro_seleccion': False, 'test_deal_breaker': 'Sí, probablemente hubieran comprado igual si resolvía el problema familiar, ya que el plan principal era mudarse. La inversión era el marco inicial y el plan B.'}</w:t>
      </w:r>
    </w:p>
    <w:p>
      <w:pPr>
        <w:pStyle w:val="Heading2"/>
      </w:pPr>
      <w:r>
        <w:t>Job Dominante Final</w:t>
      </w:r>
    </w:p>
    <w:p>
      <w:r>
        <w:t>J04: Acompañar el crecimiento familiar</w:t>
      </w:r>
    </w:p>
    <w:p>
      <w:pPr>
        <w:pStyle w:val="Heading2"/>
      </w:pPr>
      <w:r>
        <w:t>Job Secundario Final</w:t>
      </w:r>
    </w:p>
    <w:p>
      <w:r>
        <w:t>J02: Proteger y flexibilizar el patrimonio</w:t>
      </w:r>
    </w:p>
    <w:p>
      <w:pPr>
        <w:pStyle w:val="Heading2"/>
      </w:pPr>
      <w:r>
        <w:t>Resolucion Del Tribunal</w:t>
      </w:r>
    </w:p>
    <w:p>
      <w:r>
        <w:t>Aunque el cliente entra al mercado con una mentalidad de inversión (J02), la decisión de compra se subordina completamente a resolver una desalineación en la estructura familiar (J04). Los criterios de selección son exclusivamente de J04. El J02 opera como un marco de validación y plan de contingencia, pero el motor real de la elección es J04.</w:t>
      </w:r>
    </w:p>
    <w:p>
      <w:pPr>
        <w:pStyle w:val="Heading1"/>
      </w:pPr>
      <w:r>
        <w:t>Dictamen Final</w:t>
      </w:r>
    </w:p>
    <w:p>
      <w:r>
        <w:t>Entrevista Válida.</w:t>
      </w:r>
    </w:p>
    <w:p>
      <w:pPr>
        <w:pStyle w:val="Heading1"/>
      </w:pPr>
      <w:r>
        <w:t>Justificacion</w:t>
      </w:r>
    </w:p>
    <w:p>
      <w:r>
        <w:t>La entrevista revela una historia causal clara y profunda. Se logra identificar la tensión entre el gatillo de inversión (J02) y el driver de selección dominante, que es la reconfiguración familiar (J04). La narrativa post-compra es coherente y aporta valiosa información sobre las fricciones del cliente.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