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Entry Driver es la necesidad de establecer una base habitacional propia y estable tras regresar a Perú (J01). La decisión inicial la toma solo, proyectando su futuro. La futura familia (J04) y la conexión emocional con el proyecto (J06) actúan como poderosos filtros de selección que definen el QUÉ y DÓNDE comprar, pero no el PORQUÉ de la entrada al mercado.</w:t>
      </w:r>
    </w:p>
    <w:p>
      <w:pPr>
        <w:pStyle w:val="Heading2"/>
      </w:pPr>
      <w:r>
        <w:t>Debate Deal Breaker</w:t>
      </w:r>
    </w:p>
    <w:p>
      <w:r>
        <w:t>El factor innegociable fue la transición de alquilar a poseer una base propia y segura. La decisión de compra se mantiene incluso si los planes familiares se alteraran, aunque la configuración del inmueble podría cambiar. La compra se activa por la necesidad de 'sentar cabeza', y el plan familiar es el criterio con el que se mide la idoneidad de la solución.</w:t>
      </w:r>
    </w:p>
    <w:p>
      <w:pPr>
        <w:pStyle w:val="Heading2"/>
      </w:pPr>
      <w:r>
        <w:t>Candidatos Evaluados</w:t>
      </w:r>
    </w:p>
    <w:p>
      <w:r>
        <w:t>- {'codigo_y_nombre_job': 'J01: Establecer estabilidad habitacional', 'citas_textuales_evidencia': ['No, para vivir.', 'Yo lo hice proyectándome. Yo lo separé en el 2020, me casé en el 2025...', 'En ese entonces yo tomé la decisión solo, yo todavía no estaba de novio.'], 'es_gatillo_entrada': True, 'es_filtro_seleccion': False, 'test_deal_breaker': 'Si no necesitara una base propia y estable tras volver al país, no habría entrado al mercado. La compra se habría pospuesto indefinidamente.'}</w:t>
      </w:r>
    </w:p>
    <w:p>
      <w:r>
        <w:t>- {'codigo_y_nombre_job': 'J04: Acompañar el crecimiento familiar', 'citas_textuales_evidencia': ['proyectamos tener hijos en el 2026, 2027.', 'Uno porque pensaba por lo menos en un hijo.', 'en un lugar que es cerrado donde prima la seguridad y y que es un poco más ideal para para tener una familia con con hijos pequeños'], 'es_gatillo_entrada': False, 'es_filtro_seleccion': True, 'test_deal_breaker': 'Si no tuviera planes de familia, igual habría comprado una propiedad para establecerse. La compra no se cancela, solo se reconfigura a otra tipología o proyecto.'}</w:t>
      </w:r>
    </w:p>
    <w:p>
      <w:pPr>
        <w:pStyle w:val="Heading2"/>
      </w:pPr>
      <w:r>
        <w:t>Job Dominante Final</w:t>
      </w:r>
    </w:p>
    <w:p>
      <w:r>
        <w:t>J01: Establecer estabilidad habitacional</w:t>
      </w:r>
    </w:p>
    <w:p>
      <w:pPr>
        <w:pStyle w:val="Heading2"/>
      </w:pPr>
      <w:r>
        <w:t>Job Secundario Final</w:t>
      </w:r>
    </w:p>
    <w:p>
      <w:r>
        <w:t>J04: Acompañar el crecimiento familiar</w:t>
      </w:r>
    </w:p>
    <w:p>
      <w:pPr>
        <w:pStyle w:val="Heading2"/>
      </w:pPr>
      <w:r>
        <w:t>Resolucion Del Tribunal</w:t>
      </w:r>
    </w:p>
    <w:p>
      <w:r>
        <w:t>El cliente entra al mercado para establecer una base habitacional propia tras regresar a Perú (J01). La decisión inicial la toma solo, antes de formalizar su relación. La proyección de una futura familia (J04) y la conexión emocional con el proyecto (J06) actúan como filtros de selección dominantes, definiendo el *qué* y el *dónde*, pero no el *porqué* de la compra. J01 es el motor de origen.</w:t>
      </w:r>
    </w:p>
    <w:p>
      <w:pPr>
        <w:pStyle w:val="Heading1"/>
      </w:pPr>
      <w:r>
        <w:t>Dictamen Final</w:t>
      </w:r>
    </w:p>
    <w:p>
      <w:r>
        <w:t>Entrevista VÁLIDA.</w:t>
      </w:r>
    </w:p>
    <w:p>
      <w:pPr>
        <w:pStyle w:val="Heading1"/>
      </w:pPr>
      <w:r>
        <w:t>Justificacion</w:t>
      </w:r>
    </w:p>
    <w:p>
      <w:r>
        <w:t>La transcripción contiene una narrativa causal completa y detallada. El cliente articula claramente el contexto previo, las tensiones, los habilitadores y la lógica de elección, permitiendo una identificación robusta del Job to be Done dominante y los criterios de selección. La riqueza de detalles sobre la post-venta confirma la validez de la historia.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