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financiero y patrimonial. La compra se activa por un crédito pre-aprobado y la lógica de que la cuota es similar al alquiler, buscando dejar de 'botar dinero' y construir patrimonio. Los factores familiares (espacios para los hijos, amenities) actúan como un filtro de selección (Selection Driver) muy potente, definiendo QUÉ proyecto comprar, pero no el PORQUÉ se entra al mercado en primer lugar.</w:t>
      </w:r>
    </w:p>
    <w:p>
      <w:pPr>
        <w:pStyle w:val="Heading2"/>
      </w:pPr>
      <w:r>
        <w:t>Debate Deal Breaker</w:t>
      </w:r>
    </w:p>
    <w:p>
      <w:r>
        <w:t>El deal-breaker es la viabilidad financiera. Sin el crédito pre-aprobado y la ecuación favorable vs el alquiler, la búsqueda no se habría activado, ya que existía incertidumbre sobre la permanencia en el país. Las necesidades familiares, aunque críticas para la elección, no habrían sido suficientes para iniciar el proceso de compra por sí solas en ese momento. La compra se habría pospuesto.</w:t>
      </w:r>
    </w:p>
    <w:p>
      <w:pPr>
        <w:pStyle w:val="Heading2"/>
      </w:pPr>
      <w:r>
        <w:t>Candidatos Evaluados</w:t>
      </w:r>
    </w:p>
    <w:p>
      <w:r>
        <w:t>- {'codigo_y_nombre_job': 'J02: Proteger y flexibilizar el patrimonio', 'citas_textuales_evidencia': ['tienes 6 meses que me has dicho una preaprobado', 'el valor de la cuota es casi lo que yo pago hoy en día de alquiler', 'pagando alquiler, que no haces una plata que está botada a la basura, por lo menos uno compra y algo recuperas', 'el día que lo vendes, pues, difícilmente la gente te va a decir, ¿cuántos soles valen? No, te va a decir, ¿cuántos dólares valen?'], 'es_gatillo_entrada': True, 'es_filtro_seleccion': False, 'test_deal_breaker': 'Si le quitaran el crédito pre-aprobado y la cuota fuera significativamente más alta que su alquiler, no habría comprado. La inercia y la incertidumbre sobre su futuro en el país lo habrían mantenido en alquiler.'}</w:t>
      </w:r>
    </w:p>
    <w:p>
      <w:r>
        <w:t>- {'codigo_y_nombre_job': 'J04: Acompañar el crecimiento familiar', 'citas_textuales_evidencia': ['casi que te diría que el 50 % de la decisión fue por eso. Por esos, digamos, por esas preventas en términos de los espacios sociales', 'vi a mis hijos contentos. Y yo dije, pucha, hagámosle a ellos', 'mis hijos les encanta la piscina', 'cuando mandaron el acotado, yo le dije a mi esposa, escucha, no, no van a entrar ni siquiera las dos camas'], 'es_gatillo_entrada': False, 'es_filtro_seleccion': True, 'test_deal_breaker': 'Si el proyecto no tuviera las áreas comunes para sus hijos, no lo habría comprado. Sin embargo, habría seguido buscando otra opción que sí cumpliera, porque el motor patrimonial (J02) ya estaba activo.'}</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El cliente entra al mercado por una razón patrimonial (J02), activada por una oportunidad financiera. Sin embargo, la elección del producto está completamente subordinada a las necesidades y bienestar de su familia (J04). J02 es el 'porqué' de la compra, y J04 es el 'qué' y el 'dónde'. Por tanto, J02 es el Job Dominante.</w:t>
      </w:r>
    </w:p>
    <w:p>
      <w:pPr>
        <w:pStyle w:val="Heading1"/>
      </w:pPr>
      <w:r>
        <w:t>Dictamen Final</w:t>
      </w:r>
    </w:p>
    <w:p>
      <w:r>
        <w:t>Entrevista Válida y de Alta Calidad.</w:t>
      </w:r>
    </w:p>
    <w:p>
      <w:pPr>
        <w:pStyle w:val="Heading1"/>
      </w:pPr>
      <w:r>
        <w:t>Justificacion</w:t>
      </w:r>
    </w:p>
    <w:p>
      <w:r>
        <w:t>La entrevista proporciona una narrativa causal muy rica y detallada. Se puede identificar claramente el contexto, las tensiones, los habilitadores y el trigger. El entrevistado articula con precisión la diferencia entre el impulso inicial (financiero) y los criterios de selección (familiares), permitiendo un análisis robusto del Job Dominante vs. el Secundario. Las fricciones post-compra ofrecen evidencia valiosa sobre las expectativas no cumplidas.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