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Sección 3: Caracterización de Activos Seleccionados</w:t>
      </w:r>
    </w:p>
    <w:p>
      <w:pPr>
        <w:spacing w:after="320"/>
        <w:jc w:val="center"/>
      </w:pPr>
      <w:r>
        <w:rPr>
          <w:i/>
          <w:iCs/>
          <w:sz w:val="24"/>
          <w:szCs w:val="24"/>
        </w:rPr>
        <w:t xml:space="preserve">Activos de bajo riesgo — CETES y S&amp;P 500</w:t>
      </w:r>
    </w:p>
    <w:p>
      <w:pPr>
        <w:pStyle w:val="Heading1"/>
        <w:spacing w:after="180" w:before="320"/>
      </w:pPr>
      <w:r>
        <w:rPr>
          <w:b/>
          <w:bCs/>
          <w:sz w:val="32"/>
          <w:szCs w:val="32"/>
        </w:rPr>
        <w:t xml:space="preserve">3. Activos de bajo riesgo</w:t>
      </w:r>
    </w:p>
    <w:p>
      <w:pPr>
        <w:spacing w:after="140" w:line="320"/>
        <w:jc w:val="both"/>
      </w:pPr>
      <w:r>
        <w:rPr>
          <w:b w:val="false"/>
          <w:bCs w:val="false"/>
          <w:i w:val="false"/>
          <w:iCs w:val="false"/>
          <w:sz w:val="22"/>
          <w:szCs w:val="22"/>
        </w:rPr>
        <w:t xml:space="preserve">De acuerdo con la categorización establecida en la Sección 1 del proyecto, los activos de bajo riesgo se caracterizan por presentar baja volatilidad anualizada (σ &lt; 10 %), rendimientos moderados (μ &lt; 5 % o levemente superior según el instrumento) y baja probabilidad de pérdida (P(R &lt; 0) &lt; 20 %). Para esta categoría se seleccionaron dos instrumentos: los Certificados de la Tesorería de la Federación (CETES) y el índice S&amp;P 500, este último accesible mediante un fondo indexado. Ambos instrumentos comparten los atributos generales de estabilidad, alta liquidez y respaldo institucional, pero responden a lógicas distintas: CETES como instrumento de renta fija soberana, y S&amp;P 500 como exposición diversificada al mercado accionario más profundo del mundo.</w:t>
      </w:r>
    </w:p>
    <w:p>
      <w:pPr>
        <w:spacing w:after="140" w:line="320"/>
        <w:jc w:val="both"/>
      </w:pPr>
      <w:r>
        <w:rPr>
          <w:b w:val="false"/>
          <w:bCs w:val="false"/>
          <w:i w:val="false"/>
          <w:iCs w:val="false"/>
          <w:sz w:val="22"/>
          <w:szCs w:val="22"/>
        </w:rPr>
        <w:t xml:space="preserve">Esta sección presenta, para cada activo, una contextualización histórica que vincula su origen y consolidación con la evolución de los mercados financieros descrita previamente, una evaluación del prestigio institucional que respalda al instrumento, y un análisis de stress testing que documenta su comportamiento en periodos de crisis financiera relevantes. Este último elemento es particularmente importante para validar la asignación del activo a la categoría de bajo riesgo: un instrumento puede presentar baja volatilidad histórica en condiciones normales y aun así exhibir comportamientos adversos en escenarios de estrés. La evaluación conjunta de los tres ejes permite construir una caracterización robusta que servirá como insumo para el modelo de optimización.</w:t>
      </w:r>
    </w:p>
    <w:p>
      <w:pPr>
        <w:pStyle w:val="Heading2"/>
        <w:spacing w:after="140" w:before="260"/>
      </w:pPr>
      <w:r>
        <w:rPr>
          <w:b/>
          <w:bCs/>
          <w:sz w:val="26"/>
          <w:szCs w:val="26"/>
        </w:rPr>
        <w:t xml:space="preserve">3.1. CETES (Certificados de la Tesorería de la Federación)</w:t>
      </w:r>
    </w:p>
    <w:p>
      <w:pPr>
        <w:pStyle w:val="Heading3"/>
        <w:spacing w:after="120" w:before="200"/>
      </w:pPr>
      <w:r>
        <w:rPr>
          <w:b/>
          <w:bCs/>
          <w:i/>
          <w:iCs/>
          <w:sz w:val="23"/>
          <w:szCs w:val="23"/>
        </w:rPr>
        <w:t xml:space="preserve">Contexto histórico</w:t>
      </w:r>
    </w:p>
    <w:p>
      <w:pPr>
        <w:spacing w:after="140" w:line="320"/>
        <w:jc w:val="both"/>
      </w:pPr>
      <w:r>
        <w:rPr>
          <w:b w:val="false"/>
          <w:bCs w:val="false"/>
          <w:i w:val="false"/>
          <w:iCs w:val="false"/>
          <w:sz w:val="22"/>
          <w:szCs w:val="22"/>
        </w:rPr>
        <w:t xml:space="preserve">Los CETES son instrumentos de deuda soberana emitidos por el Gobierno Federal mexicano a través de la Secretaría de Hacienda y Crédito Público, con la Banca de México actuando como agente colocador. Su origen formal data de 1978, cuando se introdujeron como mecanismo para regular la liquidez del sistema financiero y financiar el gasto público mediante deuda interna de corto plazo, en sustitución parcial del financiamiento inflacionario.</w:t>
      </w:r>
    </w:p>
    <w:p>
      <w:pPr>
        <w:spacing w:after="140" w:line="320"/>
        <w:jc w:val="both"/>
      </w:pPr>
      <w:r>
        <w:rPr>
          <w:b w:val="false"/>
          <w:bCs w:val="false"/>
          <w:i w:val="false"/>
          <w:iCs w:val="false"/>
          <w:sz w:val="22"/>
          <w:szCs w:val="22"/>
        </w:rPr>
        <w:t xml:space="preserve">Desde la perspectiva histórica desarrollada en la Sección 1, los CETES se inscriben en la tradición milenaria de la deuda soberana, cuyos antecedentes pueden rastrearse hasta los préstamos a monarquías europeas durante la Edad Media —precursores conceptuales de los bonos modernos— y que adquirieron forma estructurada con la consolidación de los Estados-nación durante los siglos XVIII y XIX. En el caso mexicano, los CETES representan la versión contemporánea de un instrumento cuya función económica esencial —canalizar ahorro hacia el financiamiento del Estado a cambio de un rendimiento garantizado— ha permanecido estable a lo largo de los siglos, modificándose principalmente en sus mecanismos de colocación, plazos disponibles e infraestructura tecnológica de operación.</w:t>
      </w:r>
    </w:p>
    <w:p>
      <w:pPr>
        <w:spacing w:after="140" w:line="320"/>
        <w:jc w:val="both"/>
      </w:pPr>
      <w:r>
        <w:rPr>
          <w:b w:val="false"/>
          <w:bCs w:val="false"/>
          <w:i w:val="false"/>
          <w:iCs w:val="false"/>
          <w:sz w:val="22"/>
          <w:szCs w:val="22"/>
        </w:rPr>
        <w:t xml:space="preserve">Su incorporación al mercado secundario mexicano y, particularmente, su digitalización a partir de 1995 con la transición al sistema electrónico de negociación de la Bolsa Mexicana de Valores, los convirtió en uno de los instrumentos más líquidos del mercado local. Actualmente se subastan semanalmente por el Banco de México en plazos de 28, 91, 182 y 364 días, y son accesibles tanto a inversionistas institucionales como individuales mediante plataformas como CETESDirecto (operada por Nacional Financiera desde 2010), lo que ha democratizado el acceso a este instrumento.</w:t>
      </w:r>
    </w:p>
    <w:p>
      <w:pPr>
        <w:pStyle w:val="Heading3"/>
        <w:spacing w:after="120" w:before="200"/>
      </w:pPr>
      <w:r>
        <w:rPr>
          <w:b/>
          <w:bCs/>
          <w:i/>
          <w:iCs/>
          <w:sz w:val="23"/>
          <w:szCs w:val="23"/>
        </w:rPr>
        <w:t xml:space="preserve">Análisis de prestigio institucional</w:t>
      </w:r>
    </w:p>
    <w:p>
      <w:pPr>
        <w:spacing w:after="140" w:line="320"/>
        <w:jc w:val="both"/>
      </w:pPr>
      <w:r>
        <w:rPr>
          <w:b w:val="false"/>
          <w:bCs w:val="false"/>
          <w:i w:val="false"/>
          <w:iCs w:val="false"/>
          <w:sz w:val="22"/>
          <w:szCs w:val="22"/>
        </w:rPr>
        <w:t xml:space="preserve">El prestigio de los CETES como instrumento de inversión deriva de tres factores fundamentales que los posicionan como referencia de bajo riesgo dentro del mercado mexicano:</w:t>
      </w:r>
    </w:p>
    <w:p>
      <w:pPr>
        <w:spacing w:after="140" w:line="320"/>
        <w:jc w:val="both"/>
      </w:pPr>
      <w:r>
        <w:rPr>
          <w:b/>
          <w:bCs/>
        </w:rPr>
        <w:t xml:space="preserve">Respaldo soberano. </w:t>
      </w:r>
      <w:r>
        <w:t xml:space="preserve">Los CETES están garantizados por el Gobierno Federal mexicano, lo que en términos de teoría financiera los aproxima al concepto de "activo libre de riesgo" en el contexto local. Si bien ningún instrumento es estrictamente libre de riesgo —pues existe siempre un riesgo soberano residual—, el riesgo de incumplimiento del Estado mexicano sobre su deuda interna en moneda nacional es históricamente bajo, dado que el gobierno mantiene la facultad de emitir la moneda en la que está denominada la obligación.</w:t>
      </w:r>
    </w:p>
    <w:p>
      <w:pPr>
        <w:spacing w:after="140" w:line="320"/>
        <w:jc w:val="both"/>
      </w:pPr>
      <w:r>
        <w:rPr>
          <w:b/>
          <w:bCs/>
        </w:rPr>
        <w:t xml:space="preserve">Calificación crediticia. </w:t>
      </w:r>
      <w:r>
        <w:t xml:space="preserve">La deuda soberana mexicana mantiene calificaciones de grado de inversión por parte de las principales agencias internacionales (Moody's, S&amp;P Global Ratings, Fitch Ratings), lo que valida institucionalmente la solidez del emisor. Aunque las calificaciones específicas pueden variar a lo largo del tiempo según las condiciones macroeconómicas, México ha mantenido grado de inversión de manera ininterrumpida durante las últimas dos décadas, reforzando la percepción de los CETES como instrumento de bajo riesgo.</w:t>
      </w:r>
    </w:p>
    <w:p>
      <w:pPr>
        <w:spacing w:after="140" w:line="320"/>
        <w:jc w:val="both"/>
      </w:pPr>
      <w:r>
        <w:rPr>
          <w:b/>
          <w:bCs/>
        </w:rPr>
        <w:t xml:space="preserve">Función de referencia. </w:t>
      </w:r>
      <w:r>
        <w:t xml:space="preserve">La tasa de los CETES, particularmente la del plazo de 28 días, opera como tasa de referencia (benchmark) para múltiples productos financieros en México, incluyendo créditos hipotecarios, instrumentos derivados y la valuación de otros activos de renta fija. Esta función sistémica refuerza su prestigio y consolida su papel como ancla del mercado mexicano de deuda.</w:t>
      </w:r>
    </w:p>
    <w:p>
      <w:pPr>
        <w:pStyle w:val="Heading3"/>
        <w:spacing w:after="120" w:before="200"/>
      </w:pPr>
      <w:r>
        <w:rPr>
          <w:b/>
          <w:bCs/>
          <w:i/>
          <w:iCs/>
          <w:sz w:val="23"/>
          <w:szCs w:val="23"/>
        </w:rPr>
        <w:t xml:space="preserve">Stress testing histórico</w:t>
      </w:r>
    </w:p>
    <w:p>
      <w:pPr>
        <w:spacing w:after="140" w:line="320"/>
        <w:jc w:val="both"/>
      </w:pPr>
      <w:r>
        <w:rPr>
          <w:b w:val="false"/>
          <w:bCs w:val="false"/>
          <w:i w:val="false"/>
          <w:iCs w:val="false"/>
          <w:sz w:val="22"/>
          <w:szCs w:val="22"/>
        </w:rPr>
        <w:t xml:space="preserve">Para evaluar el comportamiento de los CETES en condiciones adversas, se analizaron tres episodios de crisis relevantes para el mercado mexicano: la crisis del peso de 1994–1995 ("Efecto Tequila"), la crisis financiera global de 2008–2009 y el choque económico asociado a la pandemia de COVID-19 en 2020.</w:t>
      </w:r>
    </w:p>
    <w:p>
      <w:pPr>
        <w:spacing w:after="140" w:line="320"/>
        <w:jc w:val="both"/>
      </w:pPr>
      <w:r>
        <w:rPr>
          <w:b/>
          <w:bCs/>
        </w:rPr>
        <w:t xml:space="preserve">Crisis de 1994–1995. </w:t>
      </w:r>
      <w:r>
        <w:t xml:space="preserve">Durante este episodio, las tasas de los CETES se dispararon temporalmente como respuesta del Banco de México a la fuga de capitales y la depreciación abrupta del peso, alcanzando niveles superiores al 80 % anual en su punto máximo. Si bien esto representó un costo real significativo para los tenedores cuyos rendimientos no compensaron la inflación, el principal de los instrumentos fue honrado en su totalidad y el mercado de CETES nunca dejó de operar. Este episodio marcó un punto de inflexión para el diseño de la política de deuda mexicana.</w:t>
      </w:r>
    </w:p>
    <w:p>
      <w:pPr>
        <w:spacing w:after="140" w:line="320"/>
        <w:jc w:val="both"/>
      </w:pPr>
      <w:r>
        <w:rPr>
          <w:b/>
          <w:bCs/>
        </w:rPr>
        <w:t xml:space="preserve">Crisis financiera global 2008–2009. </w:t>
      </w:r>
      <w:r>
        <w:t xml:space="preserve">A diferencia de la crisis de 1994, esta crisis fue de origen externo. Los CETES funcionaron como activo refugio para inversionistas locales que reasignaron capital desde activos de renta variable hacia instrumentos de bajo riesgo. Las tasas se mantuvieron en rangos manejables y el instrumento conservó su liquidez sin presentar episodios de incumplimiento o suspensión de subastas.</w:t>
      </w:r>
    </w:p>
    <w:p>
      <w:pPr>
        <w:spacing w:after="140" w:line="320"/>
        <w:jc w:val="both"/>
      </w:pPr>
      <w:r>
        <w:rPr>
          <w:b/>
          <w:bCs/>
        </w:rPr>
        <w:t xml:space="preserve">Pandemia COVID-19 (2020). </w:t>
      </w:r>
      <w:r>
        <w:t xml:space="preserve">Durante el periodo de mayor incertidumbre (marzo–abril 2020), los CETES mantuvieron su funcionamiento normal y, en particular, el mecanismo CETESDirecto experimentó un incremento sostenido en el número de cuentas activas, evidenciando la confianza de los inversionistas individuales en el instrumento como mecanismo de preservación de capital. El Banco de México implementó medidas de provisión de liquidez al sistema, pero el mercado primario y secundario de CETES no requirió intervenciones extraordinarias para mantener su funcionamiento.</w:t>
      </w:r>
    </w:p>
    <w:p>
      <w:pPr>
        <w:spacing w:after="140" w:line="320"/>
        <w:jc w:val="both"/>
      </w:pPr>
      <w:r>
        <w:rPr>
          <w:b w:val="false"/>
          <w:bCs w:val="false"/>
          <w:i w:val="false"/>
          <w:iCs w:val="false"/>
          <w:sz w:val="22"/>
          <w:szCs w:val="22"/>
        </w:rPr>
        <w:t xml:space="preserve">La evidencia conjunta de estos tres episodios respalda la clasificación de los CETES como activo de bajo riesgo dentro del modelo. Su comportamiento en condiciones de estrés refleja las características esperadas de un instrumento de deuda soberana de corto plazo: el rendimiento puede ajustarse al alza en respuesta a la política monetaria, pero el riesgo de pérdida del principal en términos nominales y en moneda local es sustancialmente bajo en horizontes de inversión consistentes con los plazos del instrumento.</w:t>
      </w:r>
    </w:p>
    <w:p>
      <w:pPr>
        <w:pStyle w:val="Heading3"/>
        <w:spacing w:after="120" w:before="200"/>
      </w:pPr>
      <w:r>
        <w:rPr>
          <w:b/>
          <w:bCs/>
          <w:i/>
          <w:iCs/>
          <w:sz w:val="23"/>
          <w:szCs w:val="23"/>
        </w:rPr>
        <w:t xml:space="preserve">Tabla resumen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888888" w:sz="4"/>
              <w:left w:val="single" w:color="888888" w:sz="4"/>
              <w:bottom w:val="single" w:color="888888" w:sz="4"/>
              <w:right w:val="single" w:color="888888" w:sz="4"/>
            </w:tcBorders>
            <w:shd w:fill="1F3864" w:val="clear"/>
            <w:tcMar>
              <w:top w:type="dxa" w:w="60"/>
              <w:left w:type="dxa" w:w="100"/>
              <w:bottom w:type="dxa" w:w="60"/>
              <w:right w:type="dxa" w:w="100"/>
            </w:tcMar>
          </w:tcPr>
          <w:p>
            <w:pPr>
              <w:jc w:val="center"/>
            </w:pPr>
            <w:r>
              <w:rPr>
                <w:b/>
                <w:bCs/>
                <w:color w:val="FFFFFF"/>
                <w:sz w:val="20"/>
                <w:szCs w:val="20"/>
              </w:rPr>
              <w:t xml:space="preserve">Atributo</w:t>
            </w:r>
          </w:p>
        </w:tc>
        <w:tc>
          <w:tcPr>
            <w:tcW w:type="dxa" w:w="5500"/>
            <w:tcBorders>
              <w:top w:val="single" w:color="888888" w:sz="4"/>
              <w:left w:val="single" w:color="888888" w:sz="4"/>
              <w:bottom w:val="single" w:color="888888" w:sz="4"/>
              <w:right w:val="single" w:color="888888" w:sz="4"/>
            </w:tcBorders>
            <w:shd w:fill="1F3864" w:val="clear"/>
            <w:tcMar>
              <w:top w:type="dxa" w:w="60"/>
              <w:left w:type="dxa" w:w="100"/>
              <w:bottom w:type="dxa" w:w="60"/>
              <w:right w:type="dxa" w:w="100"/>
            </w:tcMar>
          </w:tcPr>
          <w:p>
            <w:pPr>
              <w:jc w:val="center"/>
            </w:pPr>
            <w:r>
              <w:rPr>
                <w:b/>
                <w:bCs/>
                <w:color w:val="FFFFFF"/>
                <w:sz w:val="20"/>
                <w:szCs w:val="20"/>
              </w:rPr>
              <w:t xml:space="preserve">Característica</w:t>
            </w:r>
          </w:p>
        </w:tc>
      </w:tr>
      <w:tr>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Tipo de instrumento</w:t>
            </w:r>
          </w:p>
        </w:tc>
        <w:tc>
          <w:tcPr>
            <w:tcW w:type="dxa" w:w="5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Renta fija — deuda soberana de corto plazo</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bCs/>
                <w:sz w:val="20"/>
                <w:szCs w:val="20"/>
              </w:rPr>
              <w:t xml:space="preserve">Emisor</w:t>
            </w:r>
          </w:p>
        </w:tc>
        <w:tc>
          <w:tcPr>
            <w:tcW w:type="dxa" w:w="5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Gobierno Federal mexicano (Banco de México como agente)</w:t>
            </w:r>
          </w:p>
        </w:tc>
      </w:tr>
      <w:tr>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Plazos disponibles</w:t>
            </w:r>
          </w:p>
        </w:tc>
        <w:tc>
          <w:tcPr>
            <w:tcW w:type="dxa" w:w="5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28, 91, 182 y 364 días</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bCs/>
                <w:sz w:val="20"/>
                <w:szCs w:val="20"/>
              </w:rPr>
              <w:t xml:space="preserve">Volatilidad anualizada</w:t>
            </w:r>
          </w:p>
        </w:tc>
        <w:tc>
          <w:tcPr>
            <w:tcW w:type="dxa" w:w="5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Baja (&lt; 5 %)</w:t>
            </w:r>
          </w:p>
        </w:tc>
      </w:tr>
      <w:tr>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Probabilidad de pérdida</w:t>
            </w:r>
          </w:p>
        </w:tc>
        <w:tc>
          <w:tcPr>
            <w:tcW w:type="dxa" w:w="5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Muy baja (&lt; 5 % en moneda local)</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bCs/>
                <w:sz w:val="20"/>
                <w:szCs w:val="20"/>
              </w:rPr>
              <w:t xml:space="preserve">Liquidez</w:t>
            </w:r>
          </w:p>
        </w:tc>
        <w:tc>
          <w:tcPr>
            <w:tcW w:type="dxa" w:w="5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Alta (subastas semanales y mercado secundario activo)</w:t>
            </w:r>
          </w:p>
        </w:tc>
      </w:tr>
      <w:tr>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Categoría asignada</w:t>
            </w:r>
          </w:p>
        </w:tc>
        <w:tc>
          <w:tcPr>
            <w:tcW w:type="dxa" w:w="5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Bajo riesgo</w:t>
            </w:r>
          </w:p>
        </w:tc>
      </w:tr>
    </w:tbl>
    <w:p>
      <w:pPr>
        <w:spacing w:after="140" w:line="320"/>
        <w:jc w:val="both"/>
      </w:pPr>
      <w:r>
        <w:rPr>
          <w:b w:val="false"/>
          <w:bCs w:val="false"/>
          <w:i w:val="false"/>
          <w:iCs w:val="false"/>
          <w:sz w:val="22"/>
          <w:szCs w:val="22"/>
        </w:rPr>
        <w:t xml:space="preserve"/>
      </w:r>
    </w:p>
    <w:p>
      <w:pPr>
        <w:pStyle w:val="Heading2"/>
        <w:spacing w:after="140" w:before="260"/>
      </w:pPr>
      <w:r>
        <w:rPr>
          <w:b/>
          <w:bCs/>
          <w:sz w:val="26"/>
          <w:szCs w:val="26"/>
        </w:rPr>
        <w:t xml:space="preserve">3.2. S&amp;P 500 (vía fondo indexado)</w:t>
      </w:r>
    </w:p>
    <w:p>
      <w:pPr>
        <w:pStyle w:val="Heading3"/>
        <w:spacing w:after="120" w:before="200"/>
      </w:pPr>
      <w:r>
        <w:rPr>
          <w:b/>
          <w:bCs/>
          <w:i/>
          <w:iCs/>
          <w:sz w:val="23"/>
          <w:szCs w:val="23"/>
        </w:rPr>
        <w:t xml:space="preserve">Contexto histórico</w:t>
      </w:r>
    </w:p>
    <w:p>
      <w:pPr>
        <w:spacing w:after="140" w:line="320"/>
        <w:jc w:val="both"/>
      </w:pPr>
      <w:r>
        <w:rPr>
          <w:b w:val="false"/>
          <w:bCs w:val="false"/>
          <w:i w:val="false"/>
          <w:iCs w:val="false"/>
          <w:sz w:val="22"/>
          <w:szCs w:val="22"/>
        </w:rPr>
        <w:t xml:space="preserve">El índice Standard &amp; Poor's 500 es una medida ponderada por capitalización de mercado de las 500 empresas de mayor tamaño cotizadas en las bolsas estadounidenses (NYSE y NASDAQ). Su versión moderna fue introducida en 1957 por la firma Standard &amp; Poor's, aunque sus antecedentes se remontan a 1923 cuando la misma empresa comenzó a publicar índices más reducidos del mercado accionario estadounidense. Su construcción se realiza mediante un comité que selecciona las empresas componentes con base en criterios de capitalización de mercado, liquidez, representatividad sectorial y solidez financiera.</w:t>
      </w:r>
    </w:p>
    <w:p>
      <w:pPr>
        <w:spacing w:after="140" w:line="320"/>
        <w:jc w:val="both"/>
      </w:pPr>
      <w:r>
        <w:rPr>
          <w:b w:val="false"/>
          <w:bCs w:val="false"/>
          <w:i w:val="false"/>
          <w:iCs w:val="false"/>
          <w:sz w:val="22"/>
          <w:szCs w:val="22"/>
        </w:rPr>
        <w:t xml:space="preserve">La inclusión del S&amp;P 500 dentro de un proyecto que parte del marco histórico desarrollado en la Sección 1 resulta particularmente significativa, ya que el índice representa la culminación contemporánea del proceso evolutivo descrito: desde los primeros mercados secundarios de Ámsterdam en 1602 —donde por primera vez se observó la formación dinámica de precios mediante oferta y demanda sobre acciones de capital permanente—, hasta la consolidación de mercados accionarios profundos, transparentes y ampliamente diversificados en los siglos XX y XXI. El S&amp;P 500 encarna prácticamente todos los atributos modernos identificados en el origen histórico del mercado moderno: liquidez continua, transparencia informativa, formación dinámica de precios y la posibilidad de comprar y vender participaciones de manera fragmentaria entre múltiples agentes.</w:t>
      </w:r>
    </w:p>
    <w:p>
      <w:pPr>
        <w:spacing w:after="140" w:line="320"/>
        <w:jc w:val="both"/>
      </w:pPr>
      <w:r>
        <w:rPr>
          <w:b w:val="false"/>
          <w:bCs w:val="false"/>
          <w:i w:val="false"/>
          <w:iCs w:val="false"/>
          <w:sz w:val="22"/>
          <w:szCs w:val="22"/>
        </w:rPr>
        <w:t xml:space="preserve">En el contexto del proyecto se considera la exposición al índice mediante un fondo indexado o ETF (Exchange Traded Fund), no la inversión directa en cada una de sus 500 componentes. Esta vía es la que utilizan los inversionistas individuales y representa una innovación financiera relativamente reciente —los primeros ETFs sobre el S&amp;P 500 (como el SPDR S&amp;P 500 ETF Trust, ticker SPY) datan de 1993— que a su vez ha permitido democratizar el acceso a la diversificación amplia que representa el índice. En México, esta exposición es accesible a través del Sistema Internacional de Cotizaciones (SIC) de la BMV, lo que permite a inversionistas locales adquirir participaciones del índice estadounidense sin necesidad de operar directamente en mercados extranjeros.</w:t>
      </w:r>
    </w:p>
    <w:p>
      <w:pPr>
        <w:pStyle w:val="Heading3"/>
        <w:spacing w:after="120" w:before="200"/>
      </w:pPr>
      <w:r>
        <w:rPr>
          <w:b/>
          <w:bCs/>
          <w:i/>
          <w:iCs/>
          <w:sz w:val="23"/>
          <w:szCs w:val="23"/>
        </w:rPr>
        <w:t xml:space="preserve">Análisis de prestigio institucional</w:t>
      </w:r>
    </w:p>
    <w:p>
      <w:pPr>
        <w:spacing w:after="140" w:line="320"/>
        <w:jc w:val="both"/>
      </w:pPr>
      <w:r>
        <w:rPr>
          <w:b w:val="false"/>
          <w:bCs w:val="false"/>
          <w:i w:val="false"/>
          <w:iCs w:val="false"/>
          <w:sz w:val="22"/>
          <w:szCs w:val="22"/>
        </w:rPr>
        <w:t xml:space="preserve">El prestigio del S&amp;P 500 como referencia de inversión global se sustenta en varios elementos estructurales que lo posicionan como uno de los benchmarks más reconocidos del sistema financiero internacional:</w:t>
      </w:r>
    </w:p>
    <w:p>
      <w:pPr>
        <w:spacing w:after="140" w:line="320"/>
        <w:jc w:val="both"/>
      </w:pPr>
      <w:r>
        <w:rPr>
          <w:b/>
          <w:bCs/>
        </w:rPr>
        <w:t xml:space="preserve">Representatividad económica. </w:t>
      </w:r>
      <w:r>
        <w:t xml:space="preserve">Las 500 empresas componentes del índice representan aproximadamente el 80 % de la capitalización total del mercado accionario estadounidense, y dado el tamaño relativo de Estados Unidos en la economía global, el índice captura indirectamente una porción significativa de la actividad económica mundial. Esta representatividad lo convierte en un referente para evaluar el desempeño del mercado accionario en su conjunto, más allá del comportamiento de empresas individuales.</w:t>
      </w:r>
    </w:p>
    <w:p>
      <w:pPr>
        <w:spacing w:after="140" w:line="320"/>
        <w:jc w:val="both"/>
      </w:pPr>
      <w:r>
        <w:rPr>
          <w:b/>
          <w:bCs/>
        </w:rPr>
        <w:t xml:space="preserve">Diversificación intrínseca. </w:t>
      </w:r>
      <w:r>
        <w:t xml:space="preserve">Al estar compuesto por 500 empresas distribuidas entre múltiples sectores (tecnología, finanzas, salud, consumo, energía, industria, etc.), el índice incorpora un grado de diversificación que reduce sustancialmente el riesgo idiosincrático asociado a empresas particulares. Esta característica es la que permite clasificarlo como activo de bajo riesgo a pesar de estar conformado por instrumentos individuales —acciones— que en sí mismos serían de mayor volatilidad.</w:t>
      </w:r>
    </w:p>
    <w:p>
      <w:pPr>
        <w:spacing w:after="140" w:line="320"/>
        <w:jc w:val="both"/>
      </w:pPr>
      <w:r>
        <w:rPr>
          <w:b/>
          <w:bCs/>
        </w:rPr>
        <w:t xml:space="preserve">Estándar de comparación. </w:t>
      </w:r>
      <w:r>
        <w:t xml:space="preserve">El S&amp;P 500 es ampliamente utilizado como benchmark contra el cual los gestores de fondos miden su desempeño. La literatura financiera ha documentado consistentemente que la mayoría de los fondos activos no logran superar el rendimiento del índice en horizontes largos de inversión, lo que ha consolidado tanto la validez teórica de la inversión pasiva como la posición del índice como referente.</w:t>
      </w:r>
    </w:p>
    <w:p>
      <w:pPr>
        <w:spacing w:after="140" w:line="320"/>
        <w:jc w:val="both"/>
      </w:pPr>
      <w:r>
        <w:rPr>
          <w:b/>
          <w:bCs/>
        </w:rPr>
        <w:t xml:space="preserve">Profundidad de mercado y liquidez. </w:t>
      </w:r>
      <w:r>
        <w:t xml:space="preserve">Los productos asociados al S&amp;P 500 (futuros, opciones, ETFs, fondos mutuos) constituyen algunos de los instrumentos más líquidos del mundo. El SPY, en particular, es uno de los ETFs con mayor volumen diario de operación a nivel global, lo que garantiza ejecución eficiente de órdenes y bid-ask spreads reducidos.</w:t>
      </w:r>
    </w:p>
    <w:p>
      <w:pPr>
        <w:pStyle w:val="Heading3"/>
        <w:spacing w:after="120" w:before="200"/>
      </w:pPr>
      <w:r>
        <w:rPr>
          <w:b/>
          <w:bCs/>
          <w:i/>
          <w:iCs/>
          <w:sz w:val="23"/>
          <w:szCs w:val="23"/>
        </w:rPr>
        <w:t xml:space="preserve">Stress testing histórico</w:t>
      </w:r>
    </w:p>
    <w:p>
      <w:pPr>
        <w:spacing w:after="140" w:line="320"/>
        <w:jc w:val="both"/>
      </w:pPr>
      <w:r>
        <w:rPr>
          <w:b w:val="false"/>
          <w:bCs w:val="false"/>
          <w:i w:val="false"/>
          <w:iCs w:val="false"/>
          <w:sz w:val="22"/>
          <w:szCs w:val="22"/>
        </w:rPr>
        <w:t xml:space="preserve">La evaluación del S&amp;P 500 en condiciones adversas es particularmente reveladora, ya que se trata de un activo de renta variable —teóricamente más expuesto a fluctuaciones que la renta fija— pero cuya estructura diversificada y horizonte de inversión histórico le confieren características que justifican su clasificación como bajo riesgo dentro del modelo. Se analizan tres episodios de crisis relevantes:</w:t>
      </w:r>
    </w:p>
    <w:p>
      <w:pPr>
        <w:spacing w:after="140" w:line="320"/>
        <w:jc w:val="both"/>
      </w:pPr>
      <w:r>
        <w:rPr>
          <w:b/>
          <w:bCs/>
        </w:rPr>
        <w:t xml:space="preserve">Crisis financiera global 2008–2009. </w:t>
      </w:r>
      <w:r>
        <w:t xml:space="preserve">El índice presentó una caída acumulada cercana al 57 % desde su máximo de octubre de 2007 (1,565 puntos) hasta su mínimo de marzo de 2009 (676 puntos), reflejando la severidad del choque sistémico. Sin embargo, el índice recuperó completamente sus niveles previos hacia 2013 y posteriormente alcanzó nuevos máximos históricos. Este episodio ilustra una característica fundamental del activo: en horizontes cortos puede presentar pérdidas profundas, pero su capacidad de recuperación en horizontes largos ha sido históricamente robusta.</w:t>
      </w:r>
    </w:p>
    <w:p>
      <w:pPr>
        <w:spacing w:after="140" w:line="320"/>
        <w:jc w:val="both"/>
      </w:pPr>
      <w:r>
        <w:rPr>
          <w:b/>
          <w:bCs/>
        </w:rPr>
        <w:t xml:space="preserve">Pandemia COVID-19 (2020). </w:t>
      </w:r>
      <w:r>
        <w:t xml:space="preserve">Entre el 19 de febrero y el 23 de marzo de 2020, el S&amp;P 500 presentó una caída de aproximadamente 34 % en apenas cinco semanas, una de las contracciones más rápidas registradas en la historia del índice. La recuperación, sin embargo, fue igualmente excepcional: el índice retornó a niveles pre-pandemia en agosto del mismo año, apoyado por estímulos monetarios y fiscales sin precedentes. Este episodio aporta evidencia mixta: por un lado, demuestra que el activo puede sufrir caídas severas en escenarios extremos; por otro, su capacidad de recuperación en horizontes de mediano plazo —el horizonte considerado en este proyecto— se mantiene.</w:t>
      </w:r>
    </w:p>
    <w:p>
      <w:pPr>
        <w:spacing w:after="140" w:line="320"/>
        <w:jc w:val="both"/>
      </w:pPr>
      <w:r>
        <w:rPr>
          <w:b/>
          <w:bCs/>
        </w:rPr>
        <w:t xml:space="preserve">Ajuste 2022. </w:t>
      </w:r>
      <w:r>
        <w:t xml:space="preserve">Durante 2022, el S&amp;P 500 presentó una caída acumulada cercana al 19 % en el contexto del ciclo de alzas de tasas de interés implementado por la Reserva Federal estadounidense para contener la inflación. Si bien la magnitud fue menor que en los episodios anteriores, el episodio es relevante porque ilustra la sensibilidad del índice a las condiciones de política monetaria, factor que debe considerarse en cualquier modelo de optimización que incluya este activo.</w:t>
      </w:r>
    </w:p>
    <w:p>
      <w:pPr>
        <w:spacing w:after="140" w:line="320"/>
        <w:jc w:val="both"/>
      </w:pPr>
      <w:r>
        <w:rPr>
          <w:b w:val="false"/>
          <w:bCs w:val="false"/>
          <w:i w:val="false"/>
          <w:iCs w:val="false"/>
          <w:sz w:val="22"/>
          <w:szCs w:val="22"/>
        </w:rPr>
        <w:t xml:space="preserve">La conclusión del análisis de stress testing es que el S&amp;P 500 presenta volatilidad mayor que los CETES en horizontes cortos, pero su comportamiento histórico —caracterizado por recuperaciones consistentes después de crisis severas y por un rendimiento promedio anualizado del orden de 9–10 % en horizontes largos— justifica su inclusión en la categoría de bajo riesgo cuando se considera junto con un horizonte de inversión de mediano plazo, tal como establece el perfil moderado adoptado en el proyecto. Esta clasificación, sin embargo, requiere reconocer explícitamente que el activo no es comparable en términos de estabilidad de corto plazo con un instrumento de renta fija soberana como los CETES; ambos comparten la categoría pero por razones cualitativamente distintas.</w:t>
      </w:r>
    </w:p>
    <w:p>
      <w:pPr>
        <w:pStyle w:val="Heading3"/>
        <w:spacing w:after="120" w:before="200"/>
      </w:pPr>
      <w:r>
        <w:rPr>
          <w:b/>
          <w:bCs/>
          <w:i/>
          <w:iCs/>
          <w:sz w:val="23"/>
          <w:szCs w:val="23"/>
        </w:rPr>
        <w:t xml:space="preserve">Tabla resumen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888888" w:sz="4"/>
              <w:left w:val="single" w:color="888888" w:sz="4"/>
              <w:bottom w:val="single" w:color="888888" w:sz="4"/>
              <w:right w:val="single" w:color="888888" w:sz="4"/>
            </w:tcBorders>
            <w:shd w:fill="1F3864" w:val="clear"/>
            <w:tcMar>
              <w:top w:type="dxa" w:w="60"/>
              <w:left w:type="dxa" w:w="100"/>
              <w:bottom w:type="dxa" w:w="60"/>
              <w:right w:type="dxa" w:w="100"/>
            </w:tcMar>
          </w:tcPr>
          <w:p>
            <w:pPr>
              <w:jc w:val="center"/>
            </w:pPr>
            <w:r>
              <w:rPr>
                <w:b/>
                <w:bCs/>
                <w:color w:val="FFFFFF"/>
                <w:sz w:val="20"/>
                <w:szCs w:val="20"/>
              </w:rPr>
              <w:t xml:space="preserve">Atributo</w:t>
            </w:r>
          </w:p>
        </w:tc>
        <w:tc>
          <w:tcPr>
            <w:tcW w:type="dxa" w:w="5500"/>
            <w:tcBorders>
              <w:top w:val="single" w:color="888888" w:sz="4"/>
              <w:left w:val="single" w:color="888888" w:sz="4"/>
              <w:bottom w:val="single" w:color="888888" w:sz="4"/>
              <w:right w:val="single" w:color="888888" w:sz="4"/>
            </w:tcBorders>
            <w:shd w:fill="1F3864" w:val="clear"/>
            <w:tcMar>
              <w:top w:type="dxa" w:w="60"/>
              <w:left w:type="dxa" w:w="100"/>
              <w:bottom w:type="dxa" w:w="60"/>
              <w:right w:type="dxa" w:w="100"/>
            </w:tcMar>
          </w:tcPr>
          <w:p>
            <w:pPr>
              <w:jc w:val="center"/>
            </w:pPr>
            <w:r>
              <w:rPr>
                <w:b/>
                <w:bCs/>
                <w:color w:val="FFFFFF"/>
                <w:sz w:val="20"/>
                <w:szCs w:val="20"/>
              </w:rPr>
              <w:t xml:space="preserve">Característica</w:t>
            </w:r>
          </w:p>
        </w:tc>
      </w:tr>
      <w:tr>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Tipo de instrumento</w:t>
            </w:r>
          </w:p>
        </w:tc>
        <w:tc>
          <w:tcPr>
            <w:tcW w:type="dxa" w:w="5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Renta variable — exposición indexada vía ETF</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bCs/>
                <w:sz w:val="20"/>
                <w:szCs w:val="20"/>
              </w:rPr>
              <w:t xml:space="preserve">Emisor del índice</w:t>
            </w:r>
          </w:p>
        </w:tc>
        <w:tc>
          <w:tcPr>
            <w:tcW w:type="dxa" w:w="5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S&amp;P Dow Jones Indices (S&amp;P Global)</w:t>
            </w:r>
          </w:p>
        </w:tc>
      </w:tr>
      <w:tr>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Componentes</w:t>
            </w:r>
          </w:p>
        </w:tc>
        <w:tc>
          <w:tcPr>
            <w:tcW w:type="dxa" w:w="5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500 empresas estadounidenses de mayor capitalización</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bCs/>
                <w:sz w:val="20"/>
                <w:szCs w:val="20"/>
              </w:rPr>
              <w:t xml:space="preserve">Volatilidad anualizada</w:t>
            </w:r>
          </w:p>
        </w:tc>
        <w:tc>
          <w:tcPr>
            <w:tcW w:type="dxa" w:w="5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Moderada (≈ 15–20 % histórica), atenuada en horizontes largos</w:t>
            </w:r>
          </w:p>
        </w:tc>
      </w:tr>
      <w:tr>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Probabilidad de pérdida</w:t>
            </w:r>
          </w:p>
        </w:tc>
        <w:tc>
          <w:tcPr>
            <w:tcW w:type="dxa" w:w="5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Baja en horizontes ≥ 5 años; mayor en horizontes cortos</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bCs/>
                <w:sz w:val="20"/>
                <w:szCs w:val="20"/>
              </w:rPr>
              <w:t xml:space="preserve">Liquidez</w:t>
            </w:r>
          </w:p>
        </w:tc>
        <w:tc>
          <w:tcPr>
            <w:tcW w:type="dxa" w:w="5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Muy alta (ETFs como SPY entre los más líquidos del mundo)</w:t>
            </w:r>
          </w:p>
        </w:tc>
      </w:tr>
      <w:tr>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Categoría asignada</w:t>
            </w:r>
          </w:p>
        </w:tc>
        <w:tc>
          <w:tcPr>
            <w:tcW w:type="dxa" w:w="5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Bajo riesgo (con horizonte de mediano plazo)</w:t>
            </w:r>
          </w:p>
        </w:tc>
      </w:tr>
    </w:tbl>
    <w:p>
      <w:pPr>
        <w:spacing w:after="140" w:line="320"/>
        <w:jc w:val="both"/>
      </w:pPr>
      <w:r>
        <w:rPr>
          <w:b w:val="false"/>
          <w:bCs w:val="false"/>
          <w:i w:val="false"/>
          <w:iCs w:val="false"/>
          <w:sz w:val="22"/>
          <w:szCs w:val="22"/>
        </w:rPr>
        <w:t xml:space="preserve"/>
      </w:r>
    </w:p>
    <w:p>
      <w:pPr>
        <w:pStyle w:val="Heading2"/>
        <w:spacing w:after="140" w:before="260"/>
      </w:pPr>
      <w:r>
        <w:rPr>
          <w:b/>
          <w:bCs/>
          <w:sz w:val="26"/>
          <w:szCs w:val="26"/>
        </w:rPr>
        <w:t xml:space="preserve">3.3. Comparativo entre los dos activos de bajo riesgo</w:t>
      </w:r>
    </w:p>
    <w:p>
      <w:pPr>
        <w:spacing w:after="140" w:line="320"/>
        <w:jc w:val="both"/>
      </w:pPr>
      <w:r>
        <w:rPr>
          <w:b w:val="false"/>
          <w:bCs w:val="false"/>
          <w:i w:val="false"/>
          <w:iCs w:val="false"/>
          <w:sz w:val="22"/>
          <w:szCs w:val="22"/>
        </w:rPr>
        <w:t xml:space="preserve">Aunque ambos instrumentos están clasificados dentro de la misma categoría de riesgo según el marco cuantitativo adoptado, presentan diferencias estructurales relevantes que conviene destacar para fundamentar su rol complementario dentro del portafolio: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rPr>
          <w:tblHeader/>
        </w:trPr>
        <w:tc>
          <w:tcPr>
            <w:tcW w:type="dxa" w:w="2200"/>
            <w:tcBorders>
              <w:top w:val="single" w:color="888888" w:sz="4"/>
              <w:left w:val="single" w:color="888888" w:sz="4"/>
              <w:bottom w:val="single" w:color="888888" w:sz="4"/>
              <w:right w:val="single" w:color="888888" w:sz="4"/>
            </w:tcBorders>
            <w:shd w:fill="1F3864" w:val="clear"/>
            <w:tcMar>
              <w:top w:type="dxa" w:w="60"/>
              <w:left w:type="dxa" w:w="100"/>
              <w:bottom w:type="dxa" w:w="60"/>
              <w:right w:type="dxa" w:w="100"/>
            </w:tcMar>
          </w:tcPr>
          <w:p>
            <w:pPr>
              <w:jc w:val="center"/>
            </w:pPr>
            <w:r>
              <w:rPr>
                <w:b/>
                <w:bCs/>
                <w:color w:val="FFFFFF"/>
                <w:sz w:val="20"/>
                <w:szCs w:val="20"/>
              </w:rPr>
              <w:t xml:space="preserve">Dimensión</w:t>
            </w:r>
          </w:p>
        </w:tc>
        <w:tc>
          <w:tcPr>
            <w:tcW w:type="dxa" w:w="3300"/>
            <w:tcBorders>
              <w:top w:val="single" w:color="888888" w:sz="4"/>
              <w:left w:val="single" w:color="888888" w:sz="4"/>
              <w:bottom w:val="single" w:color="888888" w:sz="4"/>
              <w:right w:val="single" w:color="888888" w:sz="4"/>
            </w:tcBorders>
            <w:shd w:fill="1F3864" w:val="clear"/>
            <w:tcMar>
              <w:top w:type="dxa" w:w="60"/>
              <w:left w:type="dxa" w:w="100"/>
              <w:bottom w:type="dxa" w:w="60"/>
              <w:right w:type="dxa" w:w="100"/>
            </w:tcMar>
          </w:tcPr>
          <w:p>
            <w:pPr>
              <w:jc w:val="center"/>
            </w:pPr>
            <w:r>
              <w:rPr>
                <w:b/>
                <w:bCs/>
                <w:color w:val="FFFFFF"/>
                <w:sz w:val="20"/>
                <w:szCs w:val="20"/>
              </w:rPr>
              <w:t xml:space="preserve">CETES</w:t>
            </w:r>
          </w:p>
        </w:tc>
        <w:tc>
          <w:tcPr>
            <w:tcW w:type="dxa" w:w="3500"/>
            <w:tcBorders>
              <w:top w:val="single" w:color="888888" w:sz="4"/>
              <w:left w:val="single" w:color="888888" w:sz="4"/>
              <w:bottom w:val="single" w:color="888888" w:sz="4"/>
              <w:right w:val="single" w:color="888888" w:sz="4"/>
            </w:tcBorders>
            <w:shd w:fill="1F3864" w:val="clear"/>
            <w:tcMar>
              <w:top w:type="dxa" w:w="60"/>
              <w:left w:type="dxa" w:w="100"/>
              <w:bottom w:type="dxa" w:w="60"/>
              <w:right w:type="dxa" w:w="100"/>
            </w:tcMar>
          </w:tcPr>
          <w:p>
            <w:pPr>
              <w:jc w:val="center"/>
            </w:pPr>
            <w:r>
              <w:rPr>
                <w:b/>
                <w:bCs/>
                <w:color w:val="FFFFFF"/>
                <w:sz w:val="20"/>
                <w:szCs w:val="20"/>
              </w:rPr>
              <w:t xml:space="preserve">S&amp;P 500 (vía ETF)</w:t>
            </w:r>
          </w:p>
        </w:tc>
      </w:tr>
      <w:tr>
        <w:tc>
          <w:tcPr>
            <w:tcW w:type="dxa" w:w="22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Naturaleza</w:t>
            </w:r>
          </w:p>
        </w:tc>
        <w:tc>
          <w:tcPr>
            <w:tcW w:type="dxa" w:w="33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Renta fija</w:t>
            </w:r>
          </w:p>
        </w:tc>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Renta variable diversificada</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bCs/>
                <w:sz w:val="20"/>
                <w:szCs w:val="20"/>
              </w:rPr>
              <w:t xml:space="preserve">Horizonte óptimo</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Corto plazo</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Mediano-largo plazo</w:t>
            </w:r>
          </w:p>
        </w:tc>
      </w:tr>
      <w:tr>
        <w:tc>
          <w:tcPr>
            <w:tcW w:type="dxa" w:w="22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Sensibilidad a tasas</w:t>
            </w:r>
          </w:p>
        </w:tc>
        <w:tc>
          <w:tcPr>
            <w:tcW w:type="dxa" w:w="33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Directa (define la tasa)</w:t>
            </w:r>
          </w:p>
        </w:tc>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Indirecta (afecta valuaciones)</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bCs/>
                <w:sz w:val="20"/>
                <w:szCs w:val="20"/>
              </w:rPr>
              <w:t xml:space="preserve">Riesgo cambiario</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Ninguno (en moneda local)</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Presente (denominación en USD)</w:t>
            </w:r>
          </w:p>
        </w:tc>
      </w:tr>
      <w:tr>
        <w:tc>
          <w:tcPr>
            <w:tcW w:type="dxa" w:w="22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Caída máxima histórica</w:t>
            </w:r>
          </w:p>
        </w:tc>
        <w:tc>
          <w:tcPr>
            <w:tcW w:type="dxa" w:w="33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Pérdida real por inflación</w:t>
            </w:r>
          </w:p>
        </w:tc>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Aprox. −57 % nominal (2008)</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bCs/>
                <w:sz w:val="20"/>
                <w:szCs w:val="20"/>
              </w:rPr>
              <w:t xml:space="preserve">Tiempo típico de recuperación</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N/A (no presenta caídas nominales)</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b w:val="false"/>
                <w:bCs w:val="false"/>
                <w:sz w:val="20"/>
                <w:szCs w:val="20"/>
              </w:rPr>
              <w:t xml:space="preserve">1–5 años</w:t>
            </w:r>
          </w:p>
        </w:tc>
      </w:tr>
      <w:tr>
        <w:tc>
          <w:tcPr>
            <w:tcW w:type="dxa" w:w="22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left"/>
            </w:pPr>
            <w:r>
              <w:rPr>
                <w:b/>
                <w:bCs/>
                <w:sz w:val="20"/>
                <w:szCs w:val="20"/>
              </w:rPr>
              <w:t xml:space="preserve">Función en el portafolio</w:t>
            </w:r>
          </w:p>
        </w:tc>
        <w:tc>
          <w:tcPr>
            <w:tcW w:type="dxa" w:w="33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Estabilidad y liquidez</w:t>
            </w:r>
          </w:p>
        </w:tc>
        <w:tc>
          <w:tcPr>
            <w:tcW w:type="dxa" w:w="3500"/>
            <w:tcBorders>
              <w:top w:val="single" w:color="888888" w:sz="4"/>
              <w:left w:val="single" w:color="888888" w:sz="4"/>
              <w:bottom w:val="single" w:color="888888" w:sz="4"/>
              <w:right w:val="single" w:color="888888" w:sz="4"/>
            </w:tcBorders>
            <w:shd w:fill="F2F2F2" w:val="clear"/>
            <w:tcMar>
              <w:top w:type="dxa" w:w="60"/>
              <w:left w:type="dxa" w:w="100"/>
              <w:bottom w:type="dxa" w:w="60"/>
              <w:right w:type="dxa" w:w="100"/>
            </w:tcMar>
          </w:tcPr>
          <w:p>
            <w:pPr>
              <w:jc w:val="center"/>
            </w:pPr>
            <w:r>
              <w:rPr>
                <w:b w:val="false"/>
                <w:bCs w:val="false"/>
                <w:sz w:val="20"/>
                <w:szCs w:val="20"/>
              </w:rPr>
              <w:t xml:space="preserve">Crecimiento moderado</w:t>
            </w:r>
          </w:p>
        </w:tc>
      </w:tr>
    </w:tbl>
    <w:p>
      <w:pPr>
        <w:spacing w:after="140" w:line="320"/>
        <w:jc w:val="both"/>
      </w:pPr>
      <w:r>
        <w:rPr>
          <w:b w:val="false"/>
          <w:bCs w:val="false"/>
          <w:i w:val="false"/>
          <w:iCs w:val="false"/>
          <w:sz w:val="22"/>
          <w:szCs w:val="22"/>
        </w:rPr>
        <w:t xml:space="preserve"/>
      </w:r>
    </w:p>
    <w:p>
      <w:pPr>
        <w:spacing w:after="140" w:line="320"/>
        <w:jc w:val="both"/>
      </w:pPr>
      <w:r>
        <w:rPr>
          <w:b w:val="false"/>
          <w:bCs w:val="false"/>
          <w:i w:val="false"/>
          <w:iCs w:val="false"/>
          <w:sz w:val="22"/>
          <w:szCs w:val="22"/>
        </w:rPr>
        <w:t xml:space="preserve">Esta complementariedad refuerza el principio de diversificación expuesto en la Sección 1: dos activos que comparten clasificación de bajo riesgo pero responden a factores económicos distintos contribuyen a una reducción adicional del riesgo del portafolio cuando se consideran de manera conjunta. Los CETES proporcionan estabilidad nominal y servirán como ancla del componente de renta fija exigido por el perfil moderado, mientras que el fondo indexado al S&amp;P 500 aporta exposición al crecimiento económico de largo plazo y diversificación geográfica respecto al mercado mexicano. Esta lógica complementaria será incorporada explícitamente en las restricciones del modelo de optimización desarrollado en la siguiente sección.</w:t>
      </w:r>
    </w:p>
    <w:p>
      <w:pPr>
        <w:pBdr>
          <w:top w:val="single" w:color="2E74B5" w:sz="6" w:space="10"/>
        </w:pBdr>
        <w:spacing w:after="0" w:before="320"/>
        <w:jc w:val="center"/>
      </w:pPr>
      <w:r>
        <w:rPr>
          <w:i/>
          <w:iCs/>
          <w:color w:val="808080"/>
          <w:sz w:val="20"/>
          <w:szCs w:val="20"/>
        </w:rPr>
        <w:t xml:space="preserve">Fin de la sección 3.1 — Activos de bajo riesgo</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2026-05-03T00:19:11.373Z</dcterms:created>
  <dcterms:modified xsi:type="dcterms:W3CDTF">2026-05-03T00:19:11.374Z</dcterms:modified>
</cp:coreProperties>
</file>

<file path=docProps/custom.xml><?xml version="1.0" encoding="utf-8"?>
<Properties xmlns="http://schemas.openxmlformats.org/officeDocument/2006/custom-properties" xmlns:vt="http://schemas.openxmlformats.org/officeDocument/2006/docPropsVTypes"/>
</file>