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78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10.1</w:t>
      </w:r>
    </w:p>
    <w:p>
      <w:pPr>
        <w:autoSpaceDN w:val="0"/>
        <w:autoSpaceDE w:val="0"/>
        <w:widowControl/>
        <w:spacing w:line="240" w:lineRule="auto" w:before="42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73760" cy="6172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3760" cy="617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exact" w:before="26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  <w:u w:val="single"/>
        </w:rPr>
        <w:t>FORM OF SUB-RESELLER AGREEMENT</w:t>
      </w:r>
    </w:p>
    <w:p>
      <w:pPr>
        <w:autoSpaceDN w:val="0"/>
        <w:autoSpaceDE w:val="0"/>
        <w:widowControl/>
        <w:spacing w:line="190" w:lineRule="exact" w:before="530" w:after="358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Signature Page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4960"/>
        <w:gridCol w:w="4960"/>
      </w:tblGrid>
      <w:tr>
        <w:trPr>
          <w:trHeight w:hRule="exact" w:val="756"/>
        </w:trPr>
        <w:tc>
          <w:tcPr>
            <w:tcW w:type="dxa" w:w="4620"/>
            <w:tcBorders>
              <w:start w:sz="4.7999999999999545" w:val="single" w:color="#00000A"/>
              <w:top w:sz="4.7999999999999545" w:val="single" w:color="#00000A"/>
              <w:end w:sz="5.599999999999909" w:val="single" w:color="#999999"/>
              <w:bottom w:sz="5.599999999999909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8" w:after="0"/>
              <w:ind w:left="3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Reseller Full Legal Name</w:t>
            </w:r>
          </w:p>
        </w:tc>
        <w:tc>
          <w:tcPr>
            <w:tcW w:type="dxa" w:w="5202"/>
            <w:tcBorders>
              <w:start w:sz="5.599999999999909" w:val="single" w:color="#999999"/>
              <w:top w:sz="4.7999999999999545" w:val="single" w:color="#00000A"/>
              <w:end w:sz="5.600000000000364" w:val="single" w:color="#00000A"/>
              <w:bottom w:sz="5.599999999999909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0" w:after="0"/>
              <w:ind w:left="76" w:right="288" w:hanging="26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Salesforce.org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, a nonprofit public benefit corporation having its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principal place of business at 50 Fremont Street, Suite 300, San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Francisco, California 94105</w:t>
            </w:r>
          </w:p>
        </w:tc>
      </w:tr>
    </w:tbl>
    <w:p>
      <w:pPr>
        <w:autoSpaceDN w:val="0"/>
        <w:autoSpaceDE w:val="0"/>
        <w:widowControl/>
        <w:spacing w:line="232" w:lineRule="exact" w:before="2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This Form of Sub-Reseller Agreement (this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Sub-Reseller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is made and entered in by and between salesforce.com,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inc., a Delaware corporation having its principal place of business at The Landmark @ One Market, Suite 300, San Francisco,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California 94105 (“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SFDC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or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Salesforce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and the Reseller named above and amends that certain Reseller Agreement between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Salesforce and Reseller dated as of August 1, 2015, as previously amended (the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”). This Sub-Reseller Agreement 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effective as of the later of the dates beneath the Parties’ signatures below (“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Sub-Reseller Effective Date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”), provided, however,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that the dates of the Parties’ signatures are not separated by a period of time greater than ten (10) business days. If such period 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greater than ten (10) business days then this Sub-Reseller Agreement shall be deemed null and void and to be of no effect.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Capitalized terms not defined herein shall have the meanings given to them in the Agreement.</w:t>
      </w:r>
    </w:p>
    <w:p>
      <w:pPr>
        <w:autoSpaceDN w:val="0"/>
        <w:autoSpaceDE w:val="0"/>
        <w:widowControl/>
        <w:spacing w:line="226" w:lineRule="exact" w:before="304" w:after="434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Parties, by their respective authorized signatories, have duly executed this Sub-Reseller Agreement as of the Sub-Reseller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Effective Date.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4960"/>
        <w:gridCol w:w="4960"/>
      </w:tblGrid>
      <w:tr>
        <w:trPr>
          <w:trHeight w:hRule="exact" w:val="942"/>
        </w:trPr>
        <w:tc>
          <w:tcPr>
            <w:tcW w:type="dxa" w:w="3768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4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Salesforce.com, Inc.</w:t>
            </w:r>
          </w:p>
          <w:p>
            <w:pPr>
              <w:autoSpaceDN w:val="0"/>
              <w:autoSpaceDE w:val="0"/>
              <w:widowControl/>
              <w:spacing w:line="164" w:lineRule="exact" w:before="484" w:after="0"/>
              <w:ind w:left="4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814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0" w:after="0"/>
              <w:ind w:left="8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Reseller</w:t>
            </w:r>
          </w:p>
          <w:p>
            <w:pPr>
              <w:autoSpaceDN w:val="0"/>
              <w:autoSpaceDE w:val="0"/>
              <w:widowControl/>
              <w:spacing w:line="164" w:lineRule="exact" w:before="390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</w:tr>
      <w:tr>
        <w:trPr>
          <w:trHeight w:hRule="exact" w:val="252"/>
        </w:trPr>
        <w:tc>
          <w:tcPr>
            <w:tcW w:type="dxa" w:w="3768"/>
            <w:tcBorders>
              <w:top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4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3814"/>
            <w:tcBorders>
              <w:top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</w:tr>
      <w:tr>
        <w:trPr>
          <w:trHeight w:hRule="exact" w:val="252"/>
        </w:trPr>
        <w:tc>
          <w:tcPr>
            <w:tcW w:type="dxa" w:w="3768"/>
            <w:tcBorders>
              <w:top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4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3814"/>
            <w:tcBorders>
              <w:top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</w:tr>
      <w:tr>
        <w:trPr>
          <w:trHeight w:hRule="exact" w:val="254"/>
        </w:trPr>
        <w:tc>
          <w:tcPr>
            <w:tcW w:type="dxa" w:w="3768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4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</w:t>
            </w:r>
          </w:p>
        </w:tc>
        <w:tc>
          <w:tcPr>
            <w:tcW w:type="dxa" w:w="3814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</w:t>
            </w:r>
          </w:p>
        </w:tc>
      </w:tr>
    </w:tbl>
    <w:p>
      <w:pPr>
        <w:autoSpaceDN w:val="0"/>
        <w:autoSpaceDE w:val="0"/>
        <w:widowControl/>
        <w:spacing w:line="240" w:lineRule="auto" w:before="67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auto" w:before="480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SALESFORCE.COM, INC., 10-Q, 11/22/2017</w:t>
      </w:r>
    </w:p>
    <w:p>
      <w:pPr>
        <w:sectPr>
          <w:pgSz w:w="11900" w:h="16840"/>
          <w:pgMar w:top="798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10.1</w:t>
      </w:r>
    </w:p>
    <w:p>
      <w:pPr>
        <w:autoSpaceDN w:val="0"/>
        <w:autoSpaceDE w:val="0"/>
        <w:widowControl/>
        <w:spacing w:line="190" w:lineRule="exact" w:before="966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  <w:u w:val="single"/>
        </w:rPr>
        <w:t>Sub-Reseller Agreement Terms &amp; Conditions</w:t>
      </w:r>
    </w:p>
    <w:p>
      <w:pPr>
        <w:autoSpaceDN w:val="0"/>
        <w:tabs>
          <w:tab w:pos="570" w:val="left"/>
        </w:tabs>
        <w:autoSpaceDE w:val="0"/>
        <w:widowControl/>
        <w:spacing w:line="252" w:lineRule="exact" w:before="304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Resale Rights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 SFDC hereby appoints SUB-RESELLER (“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Sub-Reseller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as a sub-reseller to whom Reseller may resell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Services in accordance with Section 2(ii) of the Agreement, provided that Sub-Reseller may only resell such Services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Customer. Reseller must ensure that Sub-Reseller complies with the terms of the Agreement applicable to Reseller as if Sub-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Reseller were an original party to the Agreement and any breach by Sub-Reseller of the Agreement will be deemed a breach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by Reseller. Sub-Reseller is not be a third-party beneficiary of the Agreement.</w:t>
      </w:r>
    </w:p>
    <w:p>
      <w:pPr>
        <w:autoSpaceDN w:val="0"/>
        <w:tabs>
          <w:tab w:pos="570" w:val="left"/>
        </w:tabs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2.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Effect of Sub-Reseller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 Subject to the above modifications, the Agreement remains in full force and effect.</w:t>
      </w:r>
    </w:p>
    <w:p>
      <w:pPr>
        <w:autoSpaceDN w:val="0"/>
        <w:tabs>
          <w:tab w:pos="570" w:val="left"/>
        </w:tabs>
        <w:autoSpaceDE w:val="0"/>
        <w:widowControl/>
        <w:spacing w:line="252" w:lineRule="exact" w:before="19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3.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Entire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terms and conditions herein contained constitute the entire agreement between the Parties with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respect to the subject matter of this Sub-Reseller Agreement and supersede any previous and contemporaneous agreements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and understandings, whether oral or written, between the Parties hereto with respect to the subject matter hereof.</w:t>
      </w:r>
    </w:p>
    <w:p>
      <w:pPr>
        <w:autoSpaceDN w:val="0"/>
        <w:tabs>
          <w:tab w:pos="570" w:val="left"/>
        </w:tabs>
        <w:autoSpaceDE w:val="0"/>
        <w:widowControl/>
        <w:spacing w:line="252" w:lineRule="exact" w:before="20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4.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Counterparts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This Sub-Reseller Agreement may be executed in one or more counterparts, including facsimiles or scanned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copies sent via email or otherwise, each of which will be deemed to be a duplicate original, but all of which, taken together,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will be deemed to constitute a single instrument.</w:t>
      </w:r>
    </w:p>
    <w:sectPr w:rsidR="00FC693F" w:rsidRPr="0006063C" w:rsidSect="00034616">
      <w:pgSz w:w="11900" w:h="16840"/>
      <w:pgMar w:top="784" w:right="980" w:bottom="1440" w:left="103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