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02" w:lineRule="exact" w:before="350" w:after="0"/>
        <w:ind w:left="104" w:right="0" w:firstLine="0"/>
        <w:jc w:val="left"/>
      </w:pPr>
      <w:r>
        <w:rPr>
          <w:w w:val="101.00000381469727"/>
          <w:rFonts w:ascii="CourierNewPSMT" w:hAnsi="CourierNewPSMT" w:eastAsia="CourierNewPSMT"/>
          <w:b w:val="0"/>
          <w:i w:val="0"/>
          <w:color w:val="0000FF"/>
          <w:sz w:val="20"/>
          <w:u w:val="single"/>
        </w:rPr>
        <w:t>QuickLinks</w:t>
      </w:r>
      <w:r>
        <w:rPr>
          <w:w w:val="101.00000381469727"/>
          <w:rFonts w:ascii="CourierNewPSMT" w:hAnsi="CourierNewPSMT" w:eastAsia="CourierNewPSMT"/>
          <w:b w:val="0"/>
          <w:i w:val="0"/>
          <w:color w:val="000000"/>
          <w:sz w:val="20"/>
        </w:rPr>
        <w:t xml:space="preserve"> -- Click here to rapidly navigate through this document</w:t>
      </w:r>
    </w:p>
    <w:p>
      <w:pPr>
        <w:autoSpaceDN w:val="0"/>
        <w:autoSpaceDE w:val="0"/>
        <w:widowControl/>
        <w:spacing w:line="164" w:lineRule="exact" w:before="444" w:after="0"/>
        <w:ind w:left="0" w:right="1000" w:firstLine="0"/>
        <w:jc w:val="righ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Exhibit 99.12 </w:t>
      </w:r>
    </w:p>
    <w:p>
      <w:pPr>
        <w:autoSpaceDN w:val="0"/>
        <w:autoSpaceDE w:val="0"/>
        <w:widowControl/>
        <w:spacing w:line="240" w:lineRule="auto" w:before="204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08810" cy="537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53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402" w:after="0"/>
        <w:ind w:left="3312" w:right="4176" w:firstLine="0"/>
        <w:jc w:val="center"/>
      </w:pPr>
      <w:r>
        <w:rPr>
          <w:w w:val="102.57812738418579"/>
          <w:rFonts w:ascii="Arial" w:hAnsi="Arial" w:eastAsia="Arial"/>
          <w:b/>
          <w:i w:val="0"/>
          <w:color w:val="0C2E82"/>
          <w:sz w:val="16"/>
        </w:rPr>
        <w:t xml:space="preserve">TRANSPORTATION SERVICE AGREEMENT </w:t>
      </w:r>
      <w:r>
        <w:br/>
      </w:r>
      <w:r>
        <w:rPr>
          <w:w w:val="102.57812738418579"/>
          <w:rFonts w:ascii="Arial" w:hAnsi="Arial" w:eastAsia="Arial"/>
          <w:b/>
          <w:i w:val="0"/>
          <w:color w:val="0C2E82"/>
          <w:sz w:val="16"/>
        </w:rPr>
        <w:t>Contract Identification FT18150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Transportation Service Agreement (Agreement) is entered into by Great Lakes Gas Transmission Limited Partnership (Transporter)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ANR PIPELINE COMPANY (Shipper).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WHEREAS, Shipper has requested Transporter to transport Gas on its behalf and Transporter represents that it is willing to transport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Gas under the terms and conditions of this Agreement.</w:t>
      </w:r>
    </w:p>
    <w:p>
      <w:pPr>
        <w:autoSpaceDN w:val="0"/>
        <w:autoSpaceDE w:val="0"/>
        <w:widowControl/>
        <w:spacing w:line="202" w:lineRule="exact" w:before="202" w:after="180"/>
        <w:ind w:left="104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NOW, THEREFORE, Transporter and Shipper agree that the terms below constitute the transportation service to be provided and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rights and obligations of Shipper and Transporter.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2822"/>
        </w:trPr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1.</w:t>
            </w:r>
          </w:p>
          <w:p>
            <w:pPr>
              <w:autoSpaceDN w:val="0"/>
              <w:autoSpaceDE w:val="0"/>
              <w:widowControl/>
              <w:spacing w:line="164" w:lineRule="exact" w:before="252" w:after="0"/>
              <w:ind w:left="6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2.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6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3.</w:t>
            </w:r>
          </w:p>
          <w:p>
            <w:pPr>
              <w:autoSpaceDN w:val="0"/>
              <w:autoSpaceDE w:val="0"/>
              <w:widowControl/>
              <w:spacing w:line="164" w:lineRule="exact" w:before="252" w:after="0"/>
              <w:ind w:left="6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4.</w:t>
            </w:r>
          </w:p>
          <w:p>
            <w:pPr>
              <w:autoSpaceDN w:val="0"/>
              <w:autoSpaceDE w:val="0"/>
              <w:widowControl/>
              <w:spacing w:line="164" w:lineRule="exact" w:before="254" w:after="0"/>
              <w:ind w:left="6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5.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6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6.</w:t>
            </w:r>
          </w:p>
          <w:p>
            <w:pPr>
              <w:autoSpaceDN w:val="0"/>
              <w:autoSpaceDE w:val="0"/>
              <w:widowControl/>
              <w:spacing w:line="164" w:lineRule="exact" w:before="254" w:after="0"/>
              <w:ind w:left="6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7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186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EFFECTIVE DATE: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November 01, 2016 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186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CONTRACT IDENTIFICATION: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FT18150 </w:t>
            </w:r>
          </w:p>
          <w:p>
            <w:pPr>
              <w:autoSpaceDN w:val="0"/>
              <w:autoSpaceDE w:val="0"/>
              <w:widowControl/>
              <w:spacing w:line="164" w:lineRule="exact" w:before="252" w:after="0"/>
              <w:ind w:left="186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RATE SCHEDULE: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FT </w:t>
            </w:r>
          </w:p>
          <w:p>
            <w:pPr>
              <w:autoSpaceDN w:val="0"/>
              <w:autoSpaceDE w:val="0"/>
              <w:widowControl/>
              <w:spacing w:line="164" w:lineRule="exact" w:before="254" w:after="0"/>
              <w:ind w:left="186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SHIPPER TYPE: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Interstate Pl 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186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STATE/PROVINCE OF INCORPORATION: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Delaware </w:t>
            </w:r>
          </w:p>
          <w:p>
            <w:pPr>
              <w:autoSpaceDN w:val="0"/>
              <w:autoSpaceDE w:val="0"/>
              <w:widowControl/>
              <w:spacing w:line="164" w:lineRule="exact" w:before="254" w:after="0"/>
              <w:ind w:left="186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TERM: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November 01, 2014 to October 31, 2017 </w:t>
            </w:r>
          </w:p>
          <w:p>
            <w:pPr>
              <w:autoSpaceDN w:val="0"/>
              <w:autoSpaceDE w:val="0"/>
              <w:widowControl/>
              <w:spacing w:line="164" w:lineRule="exact" w:before="252" w:after="0"/>
              <w:ind w:left="186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EFFECT ON PREVIOUS CONTRACTS:</w:t>
            </w:r>
          </w:p>
        </w:tc>
      </w:tr>
    </w:tbl>
    <w:p>
      <w:pPr>
        <w:autoSpaceDN w:val="0"/>
        <w:autoSpaceDE w:val="0"/>
        <w:widowControl/>
        <w:spacing w:line="202" w:lineRule="exact" w:before="142" w:after="0"/>
        <w:ind w:left="610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supersedes, cancels and terminates, as of the effective date stated above, the following contract(s): Service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 dated November 01, 2015 with Contract Identification FT18150.</w:t>
      </w:r>
    </w:p>
    <w:p>
      <w:pPr>
        <w:autoSpaceDN w:val="0"/>
        <w:tabs>
          <w:tab w:pos="610" w:val="left"/>
        </w:tabs>
        <w:autoSpaceDE w:val="0"/>
        <w:widowControl/>
        <w:spacing w:line="190" w:lineRule="exact" w:before="214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MAXIMUM DAILY QUANTITY (Dth/Day):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101,300</w:t>
      </w:r>
    </w:p>
    <w:p>
      <w:pPr>
        <w:autoSpaceDN w:val="0"/>
        <w:autoSpaceDE w:val="0"/>
        <w:widowControl/>
        <w:spacing w:line="166" w:lineRule="exact" w:before="238" w:after="0"/>
        <w:ind w:left="61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Please see Appendix A for further detail.</w:t>
      </w:r>
    </w:p>
    <w:p>
      <w:pPr>
        <w:autoSpaceDN w:val="0"/>
        <w:tabs>
          <w:tab w:pos="610" w:val="left"/>
        </w:tabs>
        <w:autoSpaceDE w:val="0"/>
        <w:widowControl/>
        <w:spacing w:line="178" w:lineRule="exact" w:before="226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RATES:</w:t>
      </w:r>
    </w:p>
    <w:p>
      <w:pPr>
        <w:autoSpaceDN w:val="0"/>
        <w:autoSpaceDE w:val="0"/>
        <w:widowControl/>
        <w:spacing w:line="202" w:lineRule="exact" w:before="202" w:after="0"/>
        <w:ind w:left="610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Unless Shipper and Transporter have agreed to a rate other than the maximum rate, rates shall be Transporter's maximum rates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charges plus all applicable surcharges in effect from time to time under the applicable Rate Schedule (as stated above) 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file with the Commission unless otherwise agreed to by the parties in writing. Provisions governing a Rate other than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maximum shall be set forth in this Paragraph 9 and/or on Appendix B hereto.</w:t>
      </w:r>
    </w:p>
    <w:p>
      <w:pPr>
        <w:autoSpaceDN w:val="0"/>
        <w:tabs>
          <w:tab w:pos="610" w:val="left"/>
        </w:tabs>
        <w:autoSpaceDE w:val="0"/>
        <w:widowControl/>
        <w:spacing w:line="176" w:lineRule="exact" w:before="22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POINTS OF RECEIPT AND DELIVERY:</w:t>
      </w:r>
    </w:p>
    <w:p>
      <w:pPr>
        <w:autoSpaceDN w:val="0"/>
        <w:autoSpaceDE w:val="0"/>
        <w:widowControl/>
        <w:spacing w:line="164" w:lineRule="exact" w:before="240" w:after="0"/>
        <w:ind w:left="61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primary receipt and delivery points are set forth on Appendix A.</w:t>
      </w:r>
    </w:p>
    <w:p>
      <w:pPr>
        <w:autoSpaceDN w:val="0"/>
        <w:tabs>
          <w:tab w:pos="610" w:val="left"/>
        </w:tabs>
        <w:autoSpaceDE w:val="0"/>
        <w:widowControl/>
        <w:spacing w:line="190" w:lineRule="exact" w:before="214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RELEASED CAPACITY:</w:t>
      </w:r>
    </w:p>
    <w:p>
      <w:pPr>
        <w:autoSpaceDN w:val="0"/>
        <w:autoSpaceDE w:val="0"/>
        <w:widowControl/>
        <w:spacing w:line="164" w:lineRule="exact" w:before="240" w:after="0"/>
        <w:ind w:left="61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N/A</w:t>
      </w:r>
    </w:p>
    <w:p>
      <w:pPr>
        <w:autoSpaceDN w:val="0"/>
        <w:tabs>
          <w:tab w:pos="610" w:val="left"/>
        </w:tabs>
        <w:autoSpaceDE w:val="0"/>
        <w:widowControl/>
        <w:spacing w:line="176" w:lineRule="exact" w:before="228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INCORPORATION OF TARIFF INTO AGREEMENT:</w:t>
      </w:r>
    </w:p>
    <w:p>
      <w:pPr>
        <w:autoSpaceDN w:val="0"/>
        <w:autoSpaceDE w:val="0"/>
        <w:widowControl/>
        <w:spacing w:line="202" w:lineRule="exact" w:before="202" w:after="0"/>
        <w:ind w:left="610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shall incorporate and in all respects be subject to the "General Terms and Conditions" and the applicable Rate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Schedule (as stated above) set forth in Transporter's FERC Gas Tariff, Third Revised Volume No. 1, as may be revised from time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time. Transporter may file and seek Commission approval under Section 4 of the Natural Gas Act (NGA) at any time and from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time to time to change any rates, charges or provisions set forth in the applicable Rate Schedule (as stated above) and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"General Terms and Conditions" in Transporter's FERC Gas Tariff, Third Revised Volume No. 1, and Transporter shall have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right to place such changes in effect in accordance with the NGA, and this Agreement shall be deemed to include such changes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any such changes</w:t>
      </w:r>
    </w:p>
    <w:p>
      <w:pPr>
        <w:autoSpaceDN w:val="0"/>
        <w:autoSpaceDE w:val="0"/>
        <w:widowControl/>
        <w:spacing w:line="160" w:lineRule="exact" w:before="78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TC PIPELINES LP, 10-K, 2/26/2016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36" w:after="0"/>
        <w:ind w:left="61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which become effective by operation of law and Commission Order, without prejudice to Shipper's right to protest the same.</w:t>
      </w:r>
    </w:p>
    <w:p>
      <w:pPr>
        <w:autoSpaceDN w:val="0"/>
        <w:tabs>
          <w:tab w:pos="610" w:val="left"/>
        </w:tabs>
        <w:autoSpaceDE w:val="0"/>
        <w:widowControl/>
        <w:spacing w:line="178" w:lineRule="exact" w:before="226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MISCELLANEOUS:</w:t>
      </w:r>
    </w:p>
    <w:p>
      <w:pPr>
        <w:autoSpaceDN w:val="0"/>
        <w:autoSpaceDE w:val="0"/>
        <w:widowControl/>
        <w:spacing w:line="202" w:lineRule="exact" w:before="202" w:after="0"/>
        <w:ind w:left="610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 waiver by either party to this Agreement of any one or more defaults by the other in the performance of this Agreement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operate or be construed as a waiver of any continuing or future default(s), whether of a like or a different character.</w:t>
      </w:r>
    </w:p>
    <w:p>
      <w:pPr>
        <w:autoSpaceDN w:val="0"/>
        <w:autoSpaceDE w:val="0"/>
        <w:widowControl/>
        <w:spacing w:line="202" w:lineRule="exact" w:before="202" w:after="0"/>
        <w:ind w:left="610" w:right="158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controversy between the parties arising under this Agreement and not resolved by the parties shall be determined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accordance with the laws of the State of Michigan.</w:t>
      </w:r>
    </w:p>
    <w:p>
      <w:pPr>
        <w:autoSpaceDN w:val="0"/>
        <w:tabs>
          <w:tab w:pos="610" w:val="left"/>
        </w:tabs>
        <w:autoSpaceDE w:val="0"/>
        <w:widowControl/>
        <w:spacing w:line="188" w:lineRule="exact" w:before="216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OTHER PROVISIONS:</w:t>
      </w:r>
    </w:p>
    <w:p>
      <w:pPr>
        <w:autoSpaceDN w:val="0"/>
        <w:autoSpaceDE w:val="0"/>
        <w:widowControl/>
        <w:spacing w:line="202" w:lineRule="exact" w:before="202" w:after="0"/>
        <w:ind w:left="610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It is agreed that no personal liability whatsoever shall attach to, be imposed on or otherwise be incurred by any Partner, agent,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management official or employee of the Transporter or any director, officer or employee of any of the foregoing, for any obligation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the Transporter arising under this Agreement or for any claim based on such obligation and that the sole recourse of Shipper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this Agreement is limited to assets of the Transporter.</w:t>
      </w:r>
    </w:p>
    <w:p>
      <w:pPr>
        <w:autoSpaceDN w:val="0"/>
        <w:autoSpaceDE w:val="0"/>
        <w:widowControl/>
        <w:spacing w:line="202" w:lineRule="exact" w:before="202" w:after="0"/>
        <w:ind w:left="610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Upon termination of this Agreement, Shipper's and Transporter's obligations to each other arising under this Agreement, prior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date of termination, remain in effect and are not being terminated by any provision of this Agreement.</w:t>
      </w:r>
    </w:p>
    <w:p>
      <w:pPr>
        <w:autoSpaceDN w:val="0"/>
        <w:tabs>
          <w:tab w:pos="610" w:val="left"/>
        </w:tabs>
        <w:autoSpaceDE w:val="0"/>
        <w:widowControl/>
        <w:spacing w:line="178" w:lineRule="exact" w:before="226" w:after="0"/>
        <w:ind w:left="1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NOTICES AND COMMUNICATIONS:</w:t>
      </w:r>
    </w:p>
    <w:p>
      <w:pPr>
        <w:autoSpaceDN w:val="0"/>
        <w:autoSpaceDE w:val="0"/>
        <w:widowControl/>
        <w:spacing w:line="202" w:lineRule="exact" w:before="202" w:after="0"/>
        <w:ind w:left="610" w:right="1406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 notices and communications with respect to this Agreement shall be in writing by mail, e-mail, or fax, or other means 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agreed to by the parties, and sent to the addresses stated below or to any other such address(es) as may be designated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writing by mail, e-mail, or fax, or other means similarly agreed to:</w:t>
      </w:r>
    </w:p>
    <w:p>
      <w:pPr>
        <w:autoSpaceDN w:val="0"/>
        <w:tabs>
          <w:tab w:pos="4208" w:val="left"/>
        </w:tabs>
        <w:autoSpaceDE w:val="0"/>
        <w:widowControl/>
        <w:spacing w:line="202" w:lineRule="exact" w:before="202" w:after="0"/>
        <w:ind w:left="104" w:right="460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ADMINISTRATIVE MATTERS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Great Lakes Gas Transmission Limited Partnership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ANR PIPELINE COMPANY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Commercial Services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700 Louisiana St., Suite 700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700 Louisiana St., Suite 700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Houston, TX 77002-2700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Houston, TX 77002-2700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Attn: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AGREED TO BY:</w:t>
      </w:r>
    </w:p>
    <w:p>
      <w:pPr>
        <w:autoSpaceDN w:val="0"/>
        <w:tabs>
          <w:tab w:pos="4448" w:val="left"/>
        </w:tabs>
        <w:autoSpaceDE w:val="0"/>
        <w:widowControl/>
        <w:spacing w:line="202" w:lineRule="exact" w:before="240" w:after="180"/>
        <w:ind w:left="104" w:right="4464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GREAT LAKES GAS TRANSMISSION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ANR PIPELINE COMPANY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LIMITED PARTNERSHIP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By: Great Lakes Gas Transmission Company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4782"/>
        <w:gridCol w:w="4782"/>
      </w:tblGrid>
      <w:tr>
        <w:trPr>
          <w:trHeight w:hRule="exact" w:val="376"/>
        </w:trPr>
        <w:tc>
          <w:tcPr>
            <w:tcW w:type="dxa" w:w="3940"/>
            <w:tcBorders>
              <w:bottom w:sz="9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6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/s/ STEVEN D. JASKOLSKI</w:t>
            </w:r>
          </w:p>
        </w:tc>
        <w:tc>
          <w:tcPr>
            <w:tcW w:type="dxa" w:w="4268"/>
            <w:tcBorders>
              <w:bottom w:sz="9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0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/s/ JOSEPH E. POLLARD</w:t>
            </w:r>
          </w:p>
        </w:tc>
      </w:tr>
      <w:tr>
        <w:trPr>
          <w:trHeight w:hRule="exact" w:val="1074"/>
        </w:trPr>
        <w:tc>
          <w:tcPr>
            <w:tcW w:type="dxa" w:w="3940"/>
            <w:tcBorders>
              <w:top w:sz="9.599999999999909" w:val="single" w:color="#7F7F7F"/>
              <w:bottom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0" w:after="0"/>
              <w:ind w:left="0" w:right="1728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Steven D. Jaskolski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Director, Commercial Services</w:t>
            </w:r>
          </w:p>
          <w:p>
            <w:pPr>
              <w:autoSpaceDN w:val="0"/>
              <w:autoSpaceDE w:val="0"/>
              <w:widowControl/>
              <w:spacing w:line="164" w:lineRule="exact" w:before="278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Dated: December 14, 2015</w:t>
            </w:r>
          </w:p>
        </w:tc>
        <w:tc>
          <w:tcPr>
            <w:tcW w:type="dxa" w:w="4268"/>
            <w:tcBorders>
              <w:top w:sz="9.599999999999909" w:val="single" w:color="#7F7F7F"/>
              <w:bottom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404" w:right="1584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Joseph E. Pollard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Director, Long Term Marketing</w:t>
            </w:r>
          </w:p>
          <w:p>
            <w:pPr>
              <w:autoSpaceDN w:val="0"/>
              <w:autoSpaceDE w:val="0"/>
              <w:widowControl/>
              <w:spacing w:line="164" w:lineRule="exact" w:before="316" w:after="0"/>
              <w:ind w:left="40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Dated: December 14, 2015</w:t>
            </w:r>
          </w:p>
        </w:tc>
      </w:tr>
    </w:tbl>
    <w:p>
      <w:pPr>
        <w:autoSpaceDN w:val="0"/>
        <w:autoSpaceDE w:val="0"/>
        <w:widowControl/>
        <w:spacing w:line="160" w:lineRule="exact" w:before="612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TC PIPELINES LP, 10-K, 2/26/2016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830" w:val="left"/>
          <w:tab w:pos="4536" w:val="left"/>
          <w:tab w:pos="6418" w:val="left"/>
          <w:tab w:pos="8160" w:val="left"/>
          <w:tab w:pos="9220" w:val="left"/>
        </w:tabs>
        <w:autoSpaceDE w:val="0"/>
        <w:widowControl/>
        <w:spacing w:line="364" w:lineRule="exact" w:before="938" w:after="0"/>
        <w:ind w:left="104" w:right="864" w:firstLine="0"/>
        <w:jc w:val="left"/>
      </w:pPr>
      <w:r>
        <w:tab/>
      </w:r>
      <w:r>
        <w:tab/>
      </w:r>
      <w:r>
        <w:rPr>
          <w:w w:val="102.57812738418579"/>
          <w:rFonts w:ascii="Arial" w:hAnsi="Arial" w:eastAsia="Arial"/>
          <w:b/>
          <w:i w:val="0"/>
          <w:color w:val="0C2E82"/>
          <w:sz w:val="16"/>
        </w:rPr>
        <w:t xml:space="preserve">APPENDIX A </w:t>
      </w:r>
      <w:r>
        <w:br/>
      </w:r>
      <w:r>
        <w:tab/>
      </w:r>
      <w:r>
        <w:rPr>
          <w:w w:val="102.57812738418579"/>
          <w:rFonts w:ascii="Arial" w:hAnsi="Arial" w:eastAsia="Arial"/>
          <w:b/>
          <w:i w:val="0"/>
          <w:color w:val="0C2E82"/>
          <w:sz w:val="16"/>
        </w:rPr>
        <w:t xml:space="preserve">Contract Identification FT18150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Date: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 xml:space="preserve">November 01, 2016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Supersedes Appendix Dated: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 xml:space="preserve">November 01, 2015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Shipper: ANR PIPELINE COMPANY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Maximum Daily Quantity (Dth/Day) per Location: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4"/>
        </w:rPr>
        <w:t>Maximum</w:t>
      </w:r>
    </w:p>
    <w:p>
      <w:pPr>
        <w:autoSpaceDN w:val="0"/>
        <w:autoSpaceDE w:val="0"/>
        <w:widowControl/>
        <w:spacing w:line="138" w:lineRule="exact" w:before="12" w:after="0"/>
        <w:ind w:left="0" w:right="1102" w:firstLine="0"/>
        <w:jc w:val="right"/>
      </w:pPr>
      <w:r>
        <w:rPr>
          <w:rFonts w:ascii="Arial" w:hAnsi="Arial" w:eastAsia="Arial"/>
          <w:b/>
          <w:i w:val="0"/>
          <w:color w:val="000000"/>
          <w:sz w:val="14"/>
        </w:rPr>
        <w:t>Allowable</w:t>
      </w:r>
    </w:p>
    <w:p>
      <w:pPr>
        <w:autoSpaceDN w:val="0"/>
        <w:autoSpaceDE w:val="0"/>
        <w:widowControl/>
        <w:spacing w:line="138" w:lineRule="exact" w:before="14" w:after="0"/>
        <w:ind w:left="0" w:right="1102" w:firstLine="0"/>
        <w:jc w:val="right"/>
      </w:pPr>
      <w:r>
        <w:rPr>
          <w:rFonts w:ascii="Arial" w:hAnsi="Arial" w:eastAsia="Arial"/>
          <w:b/>
          <w:i w:val="0"/>
          <w:color w:val="000000"/>
          <w:sz w:val="14"/>
        </w:rPr>
        <w:t>Operating</w:t>
      </w:r>
    </w:p>
    <w:p>
      <w:pPr>
        <w:autoSpaceDN w:val="0"/>
        <w:autoSpaceDE w:val="0"/>
        <w:widowControl/>
        <w:spacing w:line="140" w:lineRule="exact" w:before="12" w:after="6"/>
        <w:ind w:left="0" w:right="1114" w:firstLine="0"/>
        <w:jc w:val="right"/>
      </w:pPr>
      <w:r>
        <w:rPr>
          <w:rFonts w:ascii="Arial" w:hAnsi="Arial" w:eastAsia="Arial"/>
          <w:b/>
          <w:i w:val="0"/>
          <w:color w:val="000000"/>
          <w:sz w:val="14"/>
        </w:rPr>
        <w:t>Pressure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594"/>
        <w:gridCol w:w="1594"/>
        <w:gridCol w:w="1594"/>
        <w:gridCol w:w="1594"/>
        <w:gridCol w:w="1594"/>
        <w:gridCol w:w="1594"/>
      </w:tblGrid>
      <w:tr>
        <w:trPr>
          <w:trHeight w:hRule="exact" w:val="254"/>
        </w:trPr>
        <w:tc>
          <w:tcPr>
            <w:tcW w:type="dxa" w:w="1200"/>
            <w:tcBorders>
              <w:bottom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Begin Date</w:t>
            </w:r>
          </w:p>
        </w:tc>
        <w:tc>
          <w:tcPr>
            <w:tcW w:type="dxa" w:w="1402"/>
            <w:tcBorders>
              <w:bottom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3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End Date</w:t>
            </w:r>
          </w:p>
        </w:tc>
        <w:tc>
          <w:tcPr>
            <w:tcW w:type="dxa" w:w="2576"/>
            <w:tcBorders>
              <w:bottom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4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Point(s) of Primary Receipt</w:t>
            </w:r>
          </w:p>
        </w:tc>
        <w:tc>
          <w:tcPr>
            <w:tcW w:type="dxa" w:w="2562"/>
            <w:tcBorders>
              <w:bottom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4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Point(s) of Primary Delivery</w:t>
            </w:r>
          </w:p>
        </w:tc>
        <w:tc>
          <w:tcPr>
            <w:tcW w:type="dxa" w:w="1074"/>
            <w:tcBorders>
              <w:bottom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2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MDQ</w:t>
            </w:r>
          </w:p>
        </w:tc>
        <w:tc>
          <w:tcPr>
            <w:tcW w:type="dxa" w:w="1086"/>
            <w:tcBorders>
              <w:bottom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1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(MAOP)</w:t>
            </w:r>
          </w:p>
        </w:tc>
      </w:tr>
      <w:tr>
        <w:trPr>
          <w:trHeight w:hRule="exact" w:val="324"/>
        </w:trPr>
        <w:tc>
          <w:tcPr>
            <w:tcW w:type="dxa" w:w="1200"/>
            <w:tcBorders>
              <w:top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11/01/2014</w:t>
            </w:r>
          </w:p>
        </w:tc>
        <w:tc>
          <w:tcPr>
            <w:tcW w:type="dxa" w:w="1402"/>
            <w:tcBorders>
              <w:top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03/31/2015</w:t>
            </w:r>
          </w:p>
        </w:tc>
        <w:tc>
          <w:tcPr>
            <w:tcW w:type="dxa" w:w="2576"/>
            <w:tcBorders>
              <w:top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SOUTH CHESTER</w:t>
            </w:r>
          </w:p>
        </w:tc>
        <w:tc>
          <w:tcPr>
            <w:tcW w:type="dxa" w:w="2562"/>
            <w:vMerge w:val="restart"/>
            <w:tcBorders>
              <w:top w:sz="10.400000000000091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54" w:after="0"/>
              <w:ind w:left="18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FARWELL</w:t>
            </w:r>
          </w:p>
        </w:tc>
        <w:tc>
          <w:tcPr>
            <w:tcW w:type="dxa" w:w="1074"/>
            <w:tcBorders>
              <w:top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101,300</w:t>
            </w:r>
          </w:p>
        </w:tc>
        <w:tc>
          <w:tcPr>
            <w:tcW w:type="dxa" w:w="1086"/>
            <w:tcBorders>
              <w:top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11/01/2014</w:t>
            </w:r>
          </w:p>
        </w:tc>
        <w:tc>
          <w:tcPr>
            <w:tcW w:type="dxa" w:w="1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03/31/2015</w:t>
            </w:r>
          </w:p>
        </w:tc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DEWARD</w:t>
            </w:r>
          </w:p>
        </w:tc>
        <w:tc>
          <w:tcPr>
            <w:tcW w:type="dxa" w:w="1594"/>
            <w:vMerge/>
            <w:tcBorders>
              <w:top w:sz="10.400000000000091" w:val="single" w:color="#7F7F7F"/>
            </w:tcBorders>
          </w:tcPr>
          <w:p/>
        </w:tc>
        <w:tc>
          <w:tcPr>
            <w:tcW w:type="dxa" w:w="10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101,300</w:t>
            </w:r>
          </w:p>
        </w:tc>
        <w:tc>
          <w:tcPr>
            <w:tcW w:type="dxa" w:w="1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04/01/2015</w:t>
            </w:r>
          </w:p>
        </w:tc>
        <w:tc>
          <w:tcPr>
            <w:tcW w:type="dxa" w:w="1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10/31/2015</w:t>
            </w:r>
          </w:p>
        </w:tc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SOUTH CHESTER</w:t>
            </w:r>
          </w:p>
        </w:tc>
        <w:tc>
          <w:tcPr>
            <w:tcW w:type="dxa" w:w="1594"/>
            <w:vMerge/>
            <w:tcBorders>
              <w:top w:sz="10.400000000000091" w:val="single" w:color="#7F7F7F"/>
            </w:tcBorders>
          </w:tcPr>
          <w:p/>
        </w:tc>
        <w:tc>
          <w:tcPr>
            <w:tcW w:type="dxa" w:w="10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11/01/2015</w:t>
            </w:r>
          </w:p>
        </w:tc>
        <w:tc>
          <w:tcPr>
            <w:tcW w:type="dxa" w:w="1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03/31/2016</w:t>
            </w:r>
          </w:p>
        </w:tc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SOUTH CHESTER</w:t>
            </w:r>
          </w:p>
        </w:tc>
        <w:tc>
          <w:tcPr>
            <w:tcW w:type="dxa" w:w="1594"/>
            <w:vMerge/>
            <w:tcBorders>
              <w:top w:sz="10.400000000000091" w:val="single" w:color="#7F7F7F"/>
            </w:tcBorders>
          </w:tcPr>
          <w:p/>
        </w:tc>
        <w:tc>
          <w:tcPr>
            <w:tcW w:type="dxa" w:w="10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101,300</w:t>
            </w:r>
          </w:p>
        </w:tc>
        <w:tc>
          <w:tcPr>
            <w:tcW w:type="dxa" w:w="1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11/01/2015</w:t>
            </w:r>
          </w:p>
        </w:tc>
        <w:tc>
          <w:tcPr>
            <w:tcW w:type="dxa" w:w="1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03/31/2016</w:t>
            </w:r>
          </w:p>
        </w:tc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DEWARD</w:t>
            </w:r>
          </w:p>
        </w:tc>
        <w:tc>
          <w:tcPr>
            <w:tcW w:type="dxa" w:w="1594"/>
            <w:vMerge/>
            <w:tcBorders>
              <w:top w:sz="10.400000000000091" w:val="single" w:color="#7F7F7F"/>
            </w:tcBorders>
          </w:tcPr>
          <w:p/>
        </w:tc>
        <w:tc>
          <w:tcPr>
            <w:tcW w:type="dxa" w:w="10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101,300</w:t>
            </w:r>
          </w:p>
        </w:tc>
        <w:tc>
          <w:tcPr>
            <w:tcW w:type="dxa" w:w="1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04/01/2016</w:t>
            </w:r>
          </w:p>
        </w:tc>
        <w:tc>
          <w:tcPr>
            <w:tcW w:type="dxa" w:w="1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10/31/2016</w:t>
            </w:r>
          </w:p>
        </w:tc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SOUTH CHESTER</w:t>
            </w:r>
          </w:p>
        </w:tc>
        <w:tc>
          <w:tcPr>
            <w:tcW w:type="dxa" w:w="1594"/>
            <w:vMerge/>
            <w:tcBorders>
              <w:top w:sz="10.400000000000091" w:val="single" w:color="#7F7F7F"/>
            </w:tcBorders>
          </w:tcPr>
          <w:p/>
        </w:tc>
        <w:tc>
          <w:tcPr>
            <w:tcW w:type="dxa" w:w="10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11/01/2016</w:t>
            </w:r>
          </w:p>
        </w:tc>
        <w:tc>
          <w:tcPr>
            <w:tcW w:type="dxa" w:w="1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03/31/2017</w:t>
            </w:r>
          </w:p>
        </w:tc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SOUTH CHESTER</w:t>
            </w:r>
          </w:p>
        </w:tc>
        <w:tc>
          <w:tcPr>
            <w:tcW w:type="dxa" w:w="1594"/>
            <w:vMerge/>
            <w:tcBorders>
              <w:top w:sz="10.400000000000091" w:val="single" w:color="#7F7F7F"/>
            </w:tcBorders>
          </w:tcPr>
          <w:p/>
        </w:tc>
        <w:tc>
          <w:tcPr>
            <w:tcW w:type="dxa" w:w="10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101,300</w:t>
            </w:r>
          </w:p>
        </w:tc>
        <w:tc>
          <w:tcPr>
            <w:tcW w:type="dxa" w:w="1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11/01/2016</w:t>
            </w:r>
          </w:p>
        </w:tc>
        <w:tc>
          <w:tcPr>
            <w:tcW w:type="dxa" w:w="1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03/31/2017</w:t>
            </w:r>
          </w:p>
        </w:tc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DEWARD</w:t>
            </w:r>
          </w:p>
        </w:tc>
        <w:tc>
          <w:tcPr>
            <w:tcW w:type="dxa" w:w="1594"/>
            <w:vMerge/>
            <w:tcBorders>
              <w:top w:sz="10.400000000000091" w:val="single" w:color="#7F7F7F"/>
            </w:tcBorders>
          </w:tcPr>
          <w:p/>
        </w:tc>
        <w:tc>
          <w:tcPr>
            <w:tcW w:type="dxa" w:w="10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101,300</w:t>
            </w:r>
          </w:p>
        </w:tc>
        <w:tc>
          <w:tcPr>
            <w:tcW w:type="dxa" w:w="1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04/01/2017</w:t>
            </w:r>
          </w:p>
        </w:tc>
        <w:tc>
          <w:tcPr>
            <w:tcW w:type="dxa" w:w="1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10/31/2017</w:t>
            </w:r>
          </w:p>
        </w:tc>
        <w:tc>
          <w:tcPr>
            <w:tcW w:type="dxa" w:w="2576"/>
            <w:vMerge w:val="restart"/>
            <w:tcBorders>
              <w:bottom w:sz="9.599999999999909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SOUTH CHESTER</w:t>
            </w:r>
          </w:p>
        </w:tc>
        <w:tc>
          <w:tcPr>
            <w:tcW w:type="dxa" w:w="1594"/>
            <w:vMerge/>
            <w:tcBorders>
              <w:top w:sz="10.400000000000091" w:val="single" w:color="#7F7F7F"/>
            </w:tcBorders>
          </w:tcPr>
          <w:p/>
        </w:tc>
        <w:tc>
          <w:tcPr>
            <w:tcW w:type="dxa" w:w="10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11/01/2014</w:t>
            </w:r>
          </w:p>
        </w:tc>
        <w:tc>
          <w:tcPr>
            <w:tcW w:type="dxa" w:w="1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03/31/2015</w:t>
            </w:r>
          </w:p>
        </w:tc>
        <w:tc>
          <w:tcPr>
            <w:tcW w:type="dxa" w:w="1594"/>
            <w:vMerge/>
            <w:tcBorders>
              <w:bottom w:sz="9.599999999999909" w:val="single" w:color="#7F7F7F"/>
            </w:tcBorders>
          </w:tcPr>
          <w:p/>
        </w:tc>
        <w:tc>
          <w:tcPr>
            <w:tcW w:type="dxa" w:w="1594"/>
            <w:vMerge/>
            <w:tcBorders>
              <w:top w:sz="10.400000000000091" w:val="single" w:color="#7F7F7F"/>
            </w:tcBorders>
          </w:tcPr>
          <w:p/>
        </w:tc>
        <w:tc>
          <w:tcPr>
            <w:tcW w:type="dxa" w:w="10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101,300</w:t>
            </w:r>
          </w:p>
        </w:tc>
        <w:tc>
          <w:tcPr>
            <w:tcW w:type="dxa" w:w="1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04/01/2015</w:t>
            </w:r>
          </w:p>
        </w:tc>
        <w:tc>
          <w:tcPr>
            <w:tcW w:type="dxa" w:w="1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10/31/2015</w:t>
            </w:r>
          </w:p>
        </w:tc>
        <w:tc>
          <w:tcPr>
            <w:tcW w:type="dxa" w:w="1594"/>
            <w:vMerge/>
            <w:tcBorders>
              <w:bottom w:sz="9.599999999999909" w:val="single" w:color="#7F7F7F"/>
            </w:tcBorders>
          </w:tcPr>
          <w:p/>
        </w:tc>
        <w:tc>
          <w:tcPr>
            <w:tcW w:type="dxa" w:w="25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8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FARWELL</w:t>
            </w:r>
          </w:p>
        </w:tc>
        <w:tc>
          <w:tcPr>
            <w:tcW w:type="dxa" w:w="10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11/01/2015</w:t>
            </w:r>
          </w:p>
        </w:tc>
        <w:tc>
          <w:tcPr>
            <w:tcW w:type="dxa" w:w="1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03/31/2016</w:t>
            </w:r>
          </w:p>
        </w:tc>
        <w:tc>
          <w:tcPr>
            <w:tcW w:type="dxa" w:w="1594"/>
            <w:vMerge/>
            <w:tcBorders>
              <w:bottom w:sz="9.599999999999909" w:val="single" w:color="#7F7F7F"/>
            </w:tcBorders>
          </w:tcPr>
          <w:p/>
        </w:tc>
        <w:tc>
          <w:tcPr>
            <w:tcW w:type="dxa" w:w="25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8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FARWELL</w:t>
            </w:r>
          </w:p>
        </w:tc>
        <w:tc>
          <w:tcPr>
            <w:tcW w:type="dxa" w:w="10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101,300</w:t>
            </w:r>
          </w:p>
        </w:tc>
        <w:tc>
          <w:tcPr>
            <w:tcW w:type="dxa" w:w="1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04/01/2016</w:t>
            </w:r>
          </w:p>
        </w:tc>
        <w:tc>
          <w:tcPr>
            <w:tcW w:type="dxa" w:w="1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10/31/2016</w:t>
            </w:r>
          </w:p>
        </w:tc>
        <w:tc>
          <w:tcPr>
            <w:tcW w:type="dxa" w:w="1594"/>
            <w:vMerge/>
            <w:tcBorders>
              <w:bottom w:sz="9.599999999999909" w:val="single" w:color="#7F7F7F"/>
            </w:tcBorders>
          </w:tcPr>
          <w:p/>
        </w:tc>
        <w:tc>
          <w:tcPr>
            <w:tcW w:type="dxa" w:w="25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8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FARWELL</w:t>
            </w:r>
          </w:p>
        </w:tc>
        <w:tc>
          <w:tcPr>
            <w:tcW w:type="dxa" w:w="10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  <w:tr>
        <w:trPr>
          <w:trHeight w:hRule="exact" w:val="20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11/01/2016</w:t>
            </w:r>
          </w:p>
        </w:tc>
        <w:tc>
          <w:tcPr>
            <w:tcW w:type="dxa" w:w="1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03/31/2017</w:t>
            </w:r>
          </w:p>
        </w:tc>
        <w:tc>
          <w:tcPr>
            <w:tcW w:type="dxa" w:w="1594"/>
            <w:vMerge/>
            <w:tcBorders>
              <w:bottom w:sz="9.599999999999909" w:val="single" w:color="#7F7F7F"/>
            </w:tcBorders>
          </w:tcPr>
          <w:p/>
        </w:tc>
        <w:tc>
          <w:tcPr>
            <w:tcW w:type="dxa" w:w="25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8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FARWELL</w:t>
            </w:r>
          </w:p>
        </w:tc>
        <w:tc>
          <w:tcPr>
            <w:tcW w:type="dxa" w:w="10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101,300</w:t>
            </w:r>
          </w:p>
        </w:tc>
        <w:tc>
          <w:tcPr>
            <w:tcW w:type="dxa" w:w="1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  <w:tr>
        <w:trPr>
          <w:trHeight w:hRule="exact" w:val="312"/>
        </w:trPr>
        <w:tc>
          <w:tcPr>
            <w:tcW w:type="dxa" w:w="1200"/>
            <w:tcBorders>
              <w:bottom w:sz="9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04/01/2017</w:t>
            </w:r>
          </w:p>
        </w:tc>
        <w:tc>
          <w:tcPr>
            <w:tcW w:type="dxa" w:w="1402"/>
            <w:tcBorders>
              <w:bottom w:sz="9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10/31/2017</w:t>
            </w:r>
          </w:p>
        </w:tc>
        <w:tc>
          <w:tcPr>
            <w:tcW w:type="dxa" w:w="1594"/>
            <w:vMerge/>
            <w:tcBorders>
              <w:bottom w:sz="9.599999999999909" w:val="single" w:color="#7F7F7F"/>
            </w:tcBorders>
          </w:tcPr>
          <w:p/>
        </w:tc>
        <w:tc>
          <w:tcPr>
            <w:tcW w:type="dxa" w:w="2562"/>
            <w:tcBorders>
              <w:bottom w:sz="9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8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FARWELL</w:t>
            </w:r>
          </w:p>
        </w:tc>
        <w:tc>
          <w:tcPr>
            <w:tcW w:type="dxa" w:w="1074"/>
            <w:tcBorders>
              <w:bottom w:sz="9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86"/>
            <w:tcBorders>
              <w:bottom w:sz="9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974</w:t>
            </w:r>
          </w:p>
        </w:tc>
      </w:tr>
    </w:tbl>
    <w:p>
      <w:pPr>
        <w:autoSpaceDN w:val="0"/>
        <w:autoSpaceDE w:val="0"/>
        <w:widowControl/>
        <w:spacing w:line="160" w:lineRule="exact" w:before="856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TC PIPELINES LP, 10-K, 2/26/2016</w:t>
      </w:r>
    </w:p>
    <w:p>
      <w:pPr>
        <w:sectPr>
          <w:pgSz w:w="11900" w:h="16840"/>
          <w:pgMar w:top="0" w:right="0" w:bottom="332" w:left="896" w:header="720" w:footer="720" w:gutter="0"/>
          <w:cols/>
          <w:docGrid w:linePitch="360"/>
        </w:sectPr>
      </w:pPr>
    </w:p>
    <w:p>
      <w:pPr>
        <w:autoSpaceDN w:val="0"/>
        <w:tabs>
          <w:tab w:pos="610" w:val="left"/>
        </w:tabs>
        <w:autoSpaceDE w:val="0"/>
        <w:widowControl/>
        <w:spacing w:line="338" w:lineRule="exact" w:before="1442" w:after="0"/>
        <w:ind w:left="104" w:right="5184" w:firstLine="0"/>
        <w:jc w:val="left"/>
      </w:pPr>
      <w:r>
        <w:rPr>
          <w:w w:val="101.00000381469727"/>
          <w:rFonts w:ascii="CourierNewPSMT" w:hAnsi="CourierNewPSMT" w:eastAsia="CourierNewPSMT"/>
          <w:b w:val="0"/>
          <w:i w:val="0"/>
          <w:color w:val="000000"/>
          <w:sz w:val="20"/>
        </w:rPr>
        <w:t xml:space="preserve">QuickLinks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FF"/>
          <w:sz w:val="16"/>
          <w:u w:val="single"/>
        </w:rPr>
        <w:t xml:space="preserve">Exhibit 99.12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FF"/>
          <w:sz w:val="16"/>
          <w:u w:val="single"/>
        </w:rPr>
        <w:t xml:space="preserve">TRANSPORTATION SERVICE AGREEMENT Contract Identification FT18150 </w:t>
      </w:r>
      <w:r>
        <w:rPr>
          <w:w w:val="102.57812738418579"/>
          <w:rFonts w:ascii="ArialMT" w:hAnsi="ArialMT" w:eastAsia="ArialMT"/>
          <w:b w:val="0"/>
          <w:i w:val="0"/>
          <w:color w:val="0000FF"/>
          <w:sz w:val="16"/>
          <w:u w:val="single"/>
        </w:rPr>
        <w:t>APPENDIX A Contract Identification FT18150</w:t>
      </w:r>
    </w:p>
    <w:p>
      <w:pPr>
        <w:autoSpaceDN w:val="0"/>
        <w:autoSpaceDE w:val="0"/>
        <w:widowControl/>
        <w:spacing w:line="160" w:lineRule="exact" w:before="1322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TC PIPELINES LP, 10-K, 2/26/2016</w:t>
      </w:r>
    </w:p>
    <w:sectPr w:rsidR="00FC693F" w:rsidRPr="0006063C" w:rsidSect="00034616">
      <w:pgSz w:w="11900" w:h="16840"/>
      <w:pgMar w:top="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