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4"/>
        <w:ind w:left="0" w:right="0"/>
      </w:pPr>
    </w:p>
    <w:p>
      <w:pPr>
        <w:autoSpaceDN w:val="0"/>
        <w:autoSpaceDE w:val="0"/>
        <w:widowControl/>
        <w:spacing w:line="174" w:lineRule="exact" w:before="0" w:after="0"/>
        <w:ind w:left="0" w:right="26" w:firstLine="0"/>
        <w:jc w:val="right"/>
      </w:pPr>
      <w:r>
        <w:rPr>
          <w:w w:val="101.99453690472771"/>
          <w:rFonts w:ascii="TimesNewRomanPS" w:hAnsi="TimesNewRomanPS" w:eastAsia="TimesNewRomanPS"/>
          <w:b/>
          <w:i w:val="0"/>
          <w:color w:val="000000"/>
          <w:sz w:val="17"/>
        </w:rPr>
        <w:t>Exhibit 10.1</w:t>
      </w:r>
    </w:p>
    <w:p>
      <w:pPr>
        <w:autoSpaceDN w:val="0"/>
        <w:autoSpaceDE w:val="0"/>
        <w:widowControl/>
        <w:spacing w:line="174" w:lineRule="exact" w:before="174" w:after="0"/>
        <w:ind w:left="0" w:right="0" w:firstLine="0"/>
        <w:jc w:val="center"/>
      </w:pPr>
      <w:r>
        <w:rPr>
          <w:w w:val="101.99453690472771"/>
          <w:rFonts w:ascii="TimesNewRomanPS" w:hAnsi="TimesNewRomanPS" w:eastAsia="TimesNewRomanPS"/>
          <w:b/>
          <w:i w:val="0"/>
          <w:color w:val="000000"/>
          <w:sz w:val="17"/>
          <w:u w:val="single"/>
        </w:rPr>
        <w:t>TRANSPORTATION SERVICES AGREEMENT</w:t>
      </w:r>
    </w:p>
    <w:p>
      <w:pPr>
        <w:autoSpaceDN w:val="0"/>
        <w:autoSpaceDE w:val="0"/>
        <w:widowControl/>
        <w:spacing w:line="204" w:lineRule="exact" w:before="142" w:after="0"/>
        <w:ind w:left="6" w:right="26" w:firstLine="0"/>
        <w:jc w:val="both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THIS TRANSPORTATION SERVICES AGREEMENT (this “Agreement”) is dated as of June 11, 2015, by and between Marathon Petroleum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Company LP (“Shipper”) and Marathon Pipe Line LLC, a Delaware limited liability company (“MPL”), both referred to jointly as the “Parties” and each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individually as a “Party”.</w:t>
      </w:r>
    </w:p>
    <w:p>
      <w:pPr>
        <w:autoSpaceDN w:val="0"/>
        <w:autoSpaceDE w:val="0"/>
        <w:widowControl/>
        <w:spacing w:line="174" w:lineRule="exact" w:before="196" w:after="0"/>
        <w:ind w:left="0" w:right="0" w:firstLine="0"/>
        <w:jc w:val="center"/>
      </w:pPr>
      <w:r>
        <w:rPr>
          <w:w w:val="101.99453690472771"/>
          <w:rFonts w:ascii="TimesNewRomanPS" w:hAnsi="TimesNewRomanPS" w:eastAsia="TimesNewRomanPS"/>
          <w:b/>
          <w:i w:val="0"/>
          <w:color w:val="000000"/>
          <w:sz w:val="17"/>
          <w:u w:val="single"/>
        </w:rPr>
        <w:t>WITNESSETH</w:t>
      </w:r>
    </w:p>
    <w:p>
      <w:pPr>
        <w:autoSpaceDN w:val="0"/>
        <w:autoSpaceDE w:val="0"/>
        <w:widowControl/>
        <w:spacing w:line="206" w:lineRule="exact" w:before="162" w:after="0"/>
        <w:ind w:left="6" w:right="0" w:firstLine="0"/>
        <w:jc w:val="left"/>
      </w:pPr>
      <w:r>
        <w:rPr>
          <w:w w:val="101.99453690472771"/>
          <w:rFonts w:ascii="TimesNewRomanPS" w:hAnsi="TimesNewRomanPS" w:eastAsia="TimesNewRomanPS"/>
          <w:b/>
          <w:i w:val="0"/>
          <w:color w:val="000000"/>
          <w:sz w:val="17"/>
        </w:rPr>
        <w:t>WHEREAS,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 MPL owns and operates a common carrier pipeline system originating in Ohio, as further depicted on Exhibit A, that will provide both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interstate and intrastate common carrier transportation services; and</w:t>
      </w:r>
    </w:p>
    <w:p>
      <w:pPr>
        <w:autoSpaceDN w:val="0"/>
        <w:autoSpaceDE w:val="0"/>
        <w:widowControl/>
        <w:spacing w:line="206" w:lineRule="exact" w:before="162" w:after="0"/>
        <w:ind w:left="6" w:right="26" w:firstLine="0"/>
        <w:jc w:val="both"/>
      </w:pPr>
      <w:r>
        <w:rPr>
          <w:w w:val="101.99453690472771"/>
          <w:rFonts w:ascii="TimesNewRomanPS" w:hAnsi="TimesNewRomanPS" w:eastAsia="TimesNewRomanPS"/>
          <w:b/>
          <w:i w:val="0"/>
          <w:color w:val="000000"/>
          <w:sz w:val="17"/>
        </w:rPr>
        <w:t>WHEREAS,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 MPL also operates the assets of Ohio River Pipe Line LLC, a Delaware limited liability company (“ORPL”) and an affiliate of MPL.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ORPL is the owner of a common carrier pipeline system originating in Ohio, as further depicted on Exhibit A, that provides common carrier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transportation services; and</w:t>
      </w:r>
    </w:p>
    <w:p>
      <w:pPr>
        <w:autoSpaceDN w:val="0"/>
        <w:autoSpaceDE w:val="0"/>
        <w:widowControl/>
        <w:spacing w:line="204" w:lineRule="exact" w:before="164" w:after="0"/>
        <w:ind w:left="6" w:right="26" w:firstLine="0"/>
        <w:jc w:val="both"/>
      </w:pPr>
      <w:r>
        <w:rPr>
          <w:w w:val="101.99453690472771"/>
          <w:rFonts w:ascii="TimesNewRomanPS" w:hAnsi="TimesNewRomanPS" w:eastAsia="TimesNewRomanPS"/>
          <w:b/>
          <w:i w:val="0"/>
          <w:color w:val="000000"/>
          <w:sz w:val="17"/>
        </w:rPr>
        <w:t>WHEREAS,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 MPL and ORPL desire to combine their systems (together referred to as the “Pipeline”) under a Joint Agreement (as defined below) in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order to undertake certain improvements to provide expanded capacity on portions of the Pipeline and install additional infrastructure to other portions of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the Pipeline pursuant to a multi-phase capital project (the “Project”); and</w:t>
      </w:r>
    </w:p>
    <w:p>
      <w:pPr>
        <w:autoSpaceDN w:val="0"/>
        <w:autoSpaceDE w:val="0"/>
        <w:widowControl/>
        <w:spacing w:line="204" w:lineRule="exact" w:before="166" w:after="0"/>
        <w:ind w:left="6" w:right="0" w:firstLine="0"/>
        <w:jc w:val="left"/>
      </w:pPr>
      <w:r>
        <w:rPr>
          <w:w w:val="101.99453690472771"/>
          <w:rFonts w:ascii="TimesNewRomanPS" w:hAnsi="TimesNewRomanPS" w:eastAsia="TimesNewRomanPS"/>
          <w:b/>
          <w:i w:val="0"/>
          <w:color w:val="000000"/>
          <w:sz w:val="17"/>
        </w:rPr>
        <w:t>WHEREAS,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 MPL and ORPL conducted a joint binding open season with the understanding that MPL will file a joint tariff, commencing approximately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30 days prior to the in-service date of the Project, seeking binding commitments on the Pipeline; and</w:t>
      </w:r>
    </w:p>
    <w:p>
      <w:pPr>
        <w:autoSpaceDN w:val="0"/>
        <w:autoSpaceDE w:val="0"/>
        <w:widowControl/>
        <w:spacing w:line="204" w:lineRule="exact" w:before="166" w:after="0"/>
        <w:ind w:left="6" w:right="0" w:firstLine="0"/>
        <w:jc w:val="left"/>
      </w:pPr>
      <w:r>
        <w:rPr>
          <w:w w:val="101.99453690472771"/>
          <w:rFonts w:ascii="TimesNewRomanPS" w:hAnsi="TimesNewRomanPS" w:eastAsia="TimesNewRomanPS"/>
          <w:b/>
          <w:i w:val="0"/>
          <w:color w:val="000000"/>
          <w:sz w:val="17"/>
        </w:rPr>
        <w:t>WHEREAS,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 Shipper responded to the binding open season and desires to commit to transport a specified volume of Product (as defined below) on the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Pipeline over a multi-year period to destinations as provided in Exhibit C, subject to and upon the terms and conditions of this Agreement; and</w:t>
      </w:r>
    </w:p>
    <w:p>
      <w:pPr>
        <w:autoSpaceDN w:val="0"/>
        <w:autoSpaceDE w:val="0"/>
        <w:widowControl/>
        <w:spacing w:line="206" w:lineRule="exact" w:before="164" w:after="0"/>
        <w:ind w:left="6" w:right="0" w:firstLine="0"/>
        <w:jc w:val="left"/>
      </w:pPr>
      <w:r>
        <w:rPr>
          <w:w w:val="101.99453690472771"/>
          <w:rFonts w:ascii="TimesNewRomanPS" w:hAnsi="TimesNewRomanPS" w:eastAsia="TimesNewRomanPS"/>
          <w:b/>
          <w:i w:val="0"/>
          <w:color w:val="000000"/>
          <w:sz w:val="17"/>
        </w:rPr>
        <w:t xml:space="preserve">WHEREAS,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in exchange for the commitment by Shipper to transport a specific volume of Product on the Pipeline over a multi-year period, MPL will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charge the rates as provided for in Exhibit B; and</w:t>
      </w:r>
    </w:p>
    <w:p>
      <w:pPr>
        <w:autoSpaceDN w:val="0"/>
        <w:autoSpaceDE w:val="0"/>
        <w:widowControl/>
        <w:spacing w:line="174" w:lineRule="exact" w:before="194" w:after="0"/>
        <w:ind w:left="6" w:right="0" w:firstLine="0"/>
        <w:jc w:val="left"/>
      </w:pPr>
      <w:r>
        <w:rPr>
          <w:w w:val="101.99453690472771"/>
          <w:rFonts w:ascii="TimesNewRomanPS" w:hAnsi="TimesNewRomanPS" w:eastAsia="TimesNewRomanPS"/>
          <w:b/>
          <w:i w:val="0"/>
          <w:color w:val="000000"/>
          <w:sz w:val="17"/>
        </w:rPr>
        <w:t>NOW THEREFORE,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 in consideration of the premises and mutual covenants set forth hereinafter, MPL and Shipper agree as follows:</w:t>
      </w:r>
    </w:p>
    <w:p>
      <w:pPr>
        <w:autoSpaceDN w:val="0"/>
        <w:autoSpaceDE w:val="0"/>
        <w:widowControl/>
        <w:spacing w:line="172" w:lineRule="exact" w:before="196" w:after="0"/>
        <w:ind w:left="6" w:right="0" w:firstLine="0"/>
        <w:jc w:val="left"/>
      </w:pPr>
      <w:r>
        <w:rPr>
          <w:w w:val="101.99453690472771"/>
          <w:rFonts w:ascii="TimesNewRomanPS" w:hAnsi="TimesNewRomanPS" w:eastAsia="TimesNewRomanPS"/>
          <w:b/>
          <w:i w:val="0"/>
          <w:color w:val="000000"/>
          <w:sz w:val="17"/>
        </w:rPr>
        <w:t>1.</w:t>
      </w:r>
      <w:r>
        <w:rPr>
          <w:w w:val="101.99453690472771"/>
          <w:rFonts w:ascii="TimesNewRomanPS" w:hAnsi="TimesNewRomanPS" w:eastAsia="TimesNewRomanPS"/>
          <w:b/>
          <w:i w:val="0"/>
          <w:color w:val="000000"/>
          <w:sz w:val="17"/>
        </w:rPr>
        <w:t>Definitions</w:t>
      </w:r>
    </w:p>
    <w:p>
      <w:pPr>
        <w:autoSpaceDN w:val="0"/>
        <w:autoSpaceDE w:val="0"/>
        <w:widowControl/>
        <w:spacing w:line="206" w:lineRule="exact" w:before="174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“Affiliate” means, with respect to any Person, any other Person that directly or indirectly through one or more intermediaries’ controls, is controlled by or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is under common control with, the Person in question.</w:t>
      </w:r>
    </w:p>
    <w:p>
      <w:pPr>
        <w:autoSpaceDN w:val="0"/>
        <w:autoSpaceDE w:val="0"/>
        <w:widowControl/>
        <w:spacing w:line="206" w:lineRule="exact" w:before="162" w:after="0"/>
        <w:ind w:left="6" w:right="26" w:firstLine="0"/>
        <w:jc w:val="both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“Applicable Law” means any applicable statute, law, regulation, ordinance, rule, determination, judgment, rule of law, order, decree, permit, approval,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concession, grant, franchise, license, requirement, or any similar form of decision of, or any provision or condition of any permit, license or other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operating authorization issued by any Governmental Authority having or asserting jurisdiction over the matter or matters in question, whether now or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hereafter in effect.</w:t>
      </w:r>
    </w:p>
    <w:p>
      <w:pPr>
        <w:autoSpaceDN w:val="0"/>
        <w:autoSpaceDE w:val="0"/>
        <w:widowControl/>
        <w:spacing w:line="174" w:lineRule="exact" w:before="32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“Barrel” means forty-two (42) U.S. gallons measured at sixty (60) degrees Fahrenheit.</w:t>
      </w:r>
    </w:p>
    <w:p>
      <w:pPr>
        <w:autoSpaceDN w:val="0"/>
        <w:autoSpaceDE w:val="0"/>
        <w:widowControl/>
        <w:spacing w:line="140" w:lineRule="exact" w:before="19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</w:t>
      </w:r>
    </w:p>
    <w:p>
      <w:pPr>
        <w:autoSpaceDN w:val="0"/>
        <w:autoSpaceDE w:val="0"/>
        <w:widowControl/>
        <w:spacing w:line="240" w:lineRule="auto" w:before="7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96" w:right="96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“Change in Law” means the adoption, implementation or amendment of any Applicable Law by any Governmental Authority after the Effective Date that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causes MPL to incur additional expenses in order to operate the Pipeline in compliance with such Applicable Law.</w:t>
      </w:r>
    </w:p>
    <w:p>
      <w:pPr>
        <w:autoSpaceDN w:val="0"/>
        <w:autoSpaceDE w:val="0"/>
        <w:widowControl/>
        <w:spacing w:line="172" w:lineRule="exact" w:before="196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“Change in Law Event” means the occurrence of a Change in Law that necessitates the expenditure of Compliance Costs.</w:t>
      </w:r>
    </w:p>
    <w:p>
      <w:pPr>
        <w:autoSpaceDN w:val="0"/>
        <w:autoSpaceDE w:val="0"/>
        <w:widowControl/>
        <w:spacing w:line="206" w:lineRule="exact" w:before="164" w:after="0"/>
        <w:ind w:left="6" w:right="26" w:firstLine="0"/>
        <w:jc w:val="both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“Compliance Costs” means the expenses in excess of $1,000,000 for a Change in Law Event, related specifically to the Department of Transportation,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Pipeline and Hazardous Materials Safety Administration or Homeland Security, incurred by MPL to comply with a Change of Law, irrespective of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whether such expenses are to be incurred as a onetime expenditure or periodically for an extended period. The definition for “Compliance Costs” shall in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no way revise or modify the definitions of Change in Law or Change in Law Event.</w:t>
      </w:r>
    </w:p>
    <w:p>
      <w:pPr>
        <w:autoSpaceDN w:val="0"/>
        <w:autoSpaceDE w:val="0"/>
        <w:widowControl/>
        <w:spacing w:line="206" w:lineRule="exact" w:before="164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“Contract Year” means the period beginning on the project in-service date in conjunction with the FERC tariff filing, and ending 365 days later (366 days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later for any such period that includes a February 29.)</w:t>
      </w:r>
    </w:p>
    <w:p>
      <w:pPr>
        <w:autoSpaceDN w:val="0"/>
        <w:autoSpaceDE w:val="0"/>
        <w:widowControl/>
        <w:spacing w:line="206" w:lineRule="exact" w:before="162" w:after="0"/>
        <w:ind w:left="6" w:right="26" w:firstLine="0"/>
        <w:jc w:val="both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“Confidential Information” means any proprietary or confidential information that is competitively sensitive material or otherwise of value to a Party or its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Affiliates and not generally known to the public, including trade secrets, scientific or technical information, design, invention, process, procedure, formula,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improvements, product planning information, marketing strategies, financial information, information regarding operations, consumer and/or customer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relationships, consumer and/or customer identities and profiles, sales estimates, business plans, and internal performance results relating to the past,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present or future business activities of a Party or its Affiliates and the consumers, customers, clients and suppliers of any of the foregoing. Confidential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Information includes such information as may be contained in or embodied by documents, substances, engineering and laboratory notebooks, reports,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data, specifications, computer source code and object code, flow charts, databases, drawings, pilot plants or demonstration or operating facilities,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diagrams, specifications, bills of material, equipment, prototypes and models, and any other tangible manifestation (including data in computer or other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digital format) of the foregoing; </w:t>
      </w:r>
      <w:r>
        <w:rPr>
          <w:w w:val="101.99453690472771"/>
          <w:rFonts w:ascii="TimesNewRomanPS" w:hAnsi="TimesNewRomanPS" w:eastAsia="TimesNewRomanPS"/>
          <w:b w:val="0"/>
          <w:i/>
          <w:color w:val="000000"/>
          <w:sz w:val="17"/>
        </w:rPr>
        <w:t>provided, however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, that Confidential Information does not include information that a receiving Party can show (a) has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been published or has otherwise become available to the general public as part of the public domain without breach of this Agreement, (b) has been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furnished or made known to the receiving Party without any obligation to keep it confidential by a third party under circumstances which are not known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to the receiving Party to involve a breach of the third party’s obligations to a Party or (c) was developed independently of information furnished or made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available to the receiving Party as contemplated under this Agreement.</w:t>
      </w:r>
    </w:p>
    <w:p>
      <w:pPr>
        <w:autoSpaceDN w:val="0"/>
        <w:autoSpaceDE w:val="0"/>
        <w:widowControl/>
        <w:spacing w:line="206" w:lineRule="exact" w:before="162" w:after="0"/>
        <w:ind w:left="6" w:right="26" w:firstLine="0"/>
        <w:jc w:val="both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“Construction Costs” means all costs and expenses incurred by MPL in connection with the Project, including, without limitation, those costs relating to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design, asset modification or enhancement and developmental costs, whether internal or external. Such costs include all expenditures that have been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committed to by MPL via purchase order, contract or otherwise, even if MPL has not remitted funds for the goods or services that are the subjects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thereof.</w:t>
      </w:r>
    </w:p>
    <w:p>
      <w:pPr>
        <w:autoSpaceDN w:val="0"/>
        <w:autoSpaceDE w:val="0"/>
        <w:widowControl/>
        <w:spacing w:line="174" w:lineRule="exact" w:before="196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“Construction Cost Reimbursement” has the meaning set forth in Section 10.5.</w:t>
      </w:r>
    </w:p>
    <w:p>
      <w:pPr>
        <w:autoSpaceDN w:val="0"/>
        <w:autoSpaceDE w:val="0"/>
        <w:widowControl/>
        <w:spacing w:line="206" w:lineRule="exact" w:before="162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“Day” means a period of twenty-four (24) consecutive hours commencing 12:00 a.m. Central Standard Time, or such other period upon which the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Parties may agree.</w:t>
      </w:r>
    </w:p>
    <w:p>
      <w:pPr>
        <w:autoSpaceDN w:val="0"/>
        <w:autoSpaceDE w:val="0"/>
        <w:widowControl/>
        <w:spacing w:line="140" w:lineRule="exact" w:before="19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</w:t>
      </w:r>
    </w:p>
    <w:p>
      <w:pPr>
        <w:autoSpaceDN w:val="0"/>
        <w:autoSpaceDE w:val="0"/>
        <w:widowControl/>
        <w:spacing w:line="240" w:lineRule="auto" w:before="7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66" w:right="96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2"/>
        <w:ind w:left="0" w:right="0"/>
      </w:pPr>
    </w:p>
    <w:p>
      <w:pPr>
        <w:autoSpaceDN w:val="0"/>
        <w:autoSpaceDE w:val="0"/>
        <w:widowControl/>
        <w:spacing w:line="174" w:lineRule="exact" w:before="0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“Deficiency Volume” has the meaning set forth in Section 3.5.</w:t>
      </w:r>
    </w:p>
    <w:p>
      <w:pPr>
        <w:autoSpaceDN w:val="0"/>
        <w:autoSpaceDE w:val="0"/>
        <w:widowControl/>
        <w:spacing w:line="174" w:lineRule="exact" w:before="194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“Deliveries” means the volume of Product delivered through the Pipeline.</w:t>
      </w:r>
    </w:p>
    <w:p>
      <w:pPr>
        <w:autoSpaceDN w:val="0"/>
        <w:autoSpaceDE w:val="0"/>
        <w:widowControl/>
        <w:spacing w:line="174" w:lineRule="exact" w:before="194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“Effective Date” has the meaning set forth in Section 2.1.</w:t>
      </w:r>
    </w:p>
    <w:p>
      <w:pPr>
        <w:autoSpaceDN w:val="0"/>
        <w:autoSpaceDE w:val="0"/>
        <w:widowControl/>
        <w:spacing w:line="172" w:lineRule="exact" w:before="196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“Election Deadline” has the meaning set forth in Section 6.6.</w:t>
      </w:r>
    </w:p>
    <w:p>
      <w:pPr>
        <w:autoSpaceDN w:val="0"/>
        <w:autoSpaceDE w:val="0"/>
        <w:widowControl/>
        <w:spacing w:line="174" w:lineRule="exact" w:before="196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“Expansion Notice” has the meaning set forth in Section 6.6.</w:t>
      </w:r>
    </w:p>
    <w:p>
      <w:pPr>
        <w:autoSpaceDN w:val="0"/>
        <w:autoSpaceDE w:val="0"/>
        <w:widowControl/>
        <w:spacing w:line="174" w:lineRule="exact" w:before="194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“Expansion Volume Commitment” has the meaning set forth in Section 6.6.</w:t>
      </w:r>
    </w:p>
    <w:p>
      <w:pPr>
        <w:autoSpaceDN w:val="0"/>
        <w:autoSpaceDE w:val="0"/>
        <w:widowControl/>
        <w:spacing w:line="174" w:lineRule="exact" w:before="194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“Extension Period” has the meaning set forth in Section 2.2.</w:t>
      </w:r>
    </w:p>
    <w:p>
      <w:pPr>
        <w:autoSpaceDN w:val="0"/>
        <w:autoSpaceDE w:val="0"/>
        <w:widowControl/>
        <w:spacing w:line="172" w:lineRule="exact" w:before="196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“FERC” means the Federal Energy Regulatory Commission.</w:t>
      </w:r>
    </w:p>
    <w:p>
      <w:pPr>
        <w:autoSpaceDN w:val="0"/>
        <w:autoSpaceDE w:val="0"/>
        <w:widowControl/>
        <w:spacing w:line="206" w:lineRule="exact" w:before="162" w:after="0"/>
        <w:ind w:left="6" w:right="26" w:firstLine="0"/>
        <w:jc w:val="both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“Force Majeure” means acts of God, fires, floods, storms; compliance with orders of courts or Governmental Authorities; explosions, wars, terrorist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acts, riots, strikes, lockouts or other industrial disturbances; accidental disruption of service; breakdown of machinery, storage tanks or pipelines and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inability to obtain or unavoidable delays in obtaining material or equipment; and similar events or circumstances, so long as such events or circumstances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are beyond the affected Party’s reasonable control and could not have been prevented by the affected Party’s due diligence; </w:t>
      </w:r>
      <w:r>
        <w:rPr>
          <w:w w:val="101.99453690472771"/>
          <w:rFonts w:ascii="TimesNewRomanPS" w:hAnsi="TimesNewRomanPS" w:eastAsia="TimesNewRomanPS"/>
          <w:b w:val="0"/>
          <w:i/>
          <w:color w:val="000000"/>
          <w:sz w:val="17"/>
        </w:rPr>
        <w:t>provided, however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, that a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Party’s failure to pay any amounts due hereunder shall not constitute an event of Force Majeure.</w:t>
      </w:r>
    </w:p>
    <w:p>
      <w:pPr>
        <w:autoSpaceDN w:val="0"/>
        <w:autoSpaceDE w:val="0"/>
        <w:widowControl/>
        <w:spacing w:line="174" w:lineRule="exact" w:before="238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“Force Majeure Notice” has the meaning set forth in Section 5.1.</w:t>
      </w:r>
    </w:p>
    <w:p>
      <w:pPr>
        <w:autoSpaceDN w:val="0"/>
        <w:autoSpaceDE w:val="0"/>
        <w:widowControl/>
        <w:spacing w:line="172" w:lineRule="exact" w:before="196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“Force Majeure Period” has the meaning set forth in Section 5.1.</w:t>
      </w:r>
    </w:p>
    <w:p>
      <w:pPr>
        <w:autoSpaceDN w:val="0"/>
        <w:autoSpaceDE w:val="0"/>
        <w:widowControl/>
        <w:spacing w:line="204" w:lineRule="exact" w:before="164" w:after="0"/>
        <w:ind w:left="6" w:right="26" w:firstLine="0"/>
        <w:jc w:val="both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“Governmental Authority” means any federal, state, local or foreign government or any provincial, departmental or other political subdivision thereof, or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any entity, body or authority exercising executive, legislative, judicial, regulatory, administrative or other governmental functions or any court, department,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commission, board, bureau, agency, instrumentality or administrative body of any of the foregoing.</w:t>
      </w:r>
    </w:p>
    <w:p>
      <w:pPr>
        <w:autoSpaceDN w:val="0"/>
        <w:autoSpaceDE w:val="0"/>
        <w:widowControl/>
        <w:spacing w:line="174" w:lineRule="exact" w:before="196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“Initial Term” has the meaning set forth in Section 2.2.</w:t>
      </w:r>
    </w:p>
    <w:p>
      <w:pPr>
        <w:autoSpaceDN w:val="0"/>
        <w:autoSpaceDE w:val="0"/>
        <w:widowControl/>
        <w:spacing w:line="260" w:lineRule="exact" w:before="108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“Joint Agreement” means the agreement between ORPL and MPL to undertake certain improvements to provide expanded capacity on portions of the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ORPL systems and install additional infrastructure to portions of the MPL systems pursuant to a multi-phase capital project. This agreement will also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establish a joint tariff between ORPL and MPL, which derives both entities local movements and rates. MPL will ultimately file the joint tariff.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“Monthly Commitment” has the meaning set forth in Section 3.6.</w:t>
      </w:r>
    </w:p>
    <w:p>
      <w:pPr>
        <w:autoSpaceDN w:val="0"/>
        <w:autoSpaceDE w:val="0"/>
        <w:widowControl/>
        <w:spacing w:line="206" w:lineRule="exact" w:before="162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“Person” means any individual, partnership, limited partnership, joint venture, corporation, limited liability company, limited liability partnership, trust,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unincorporated organization or Governmental Authority or any department or agency thereof.</w:t>
      </w:r>
    </w:p>
    <w:p>
      <w:pPr>
        <w:autoSpaceDN w:val="0"/>
        <w:autoSpaceDE w:val="0"/>
        <w:widowControl/>
        <w:spacing w:line="172" w:lineRule="exact" w:before="196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“Pre-Service Increase Request” has the meaning set forth in Section 3.9.</w:t>
      </w:r>
    </w:p>
    <w:p>
      <w:pPr>
        <w:autoSpaceDN w:val="0"/>
        <w:autoSpaceDE w:val="0"/>
        <w:widowControl/>
        <w:spacing w:line="174" w:lineRule="exact" w:before="196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“Prepaid Transportation Credits” has the meaning set forth in Section 3.6.</w:t>
      </w:r>
    </w:p>
    <w:p>
      <w:pPr>
        <w:autoSpaceDN w:val="0"/>
        <w:autoSpaceDE w:val="0"/>
        <w:widowControl/>
        <w:spacing w:line="140" w:lineRule="exact" w:before="19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70" w:right="96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2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6" w:right="26" w:firstLine="0"/>
        <w:jc w:val="both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“Product” means the commodities commonly associated as specialty petroleum products, specifically condensate, natural gasoline, and diluent. Product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may also include liquefied petroleum gas commodities such as butane. Product, as designed in this Agreement, does not refer to finished gasoline and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diesel products.</w:t>
      </w:r>
    </w:p>
    <w:p>
      <w:pPr>
        <w:autoSpaceDN w:val="0"/>
        <w:autoSpaceDE w:val="0"/>
        <w:widowControl/>
        <w:spacing w:line="206" w:lineRule="exact" w:before="162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“Project Capacity” means the aggregate of each system’s total capacity that is made available for Product movements by means of the Project, by either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expanding existing pipelines or building new pipelines.</w:t>
      </w:r>
    </w:p>
    <w:p>
      <w:pPr>
        <w:autoSpaceDN w:val="0"/>
        <w:autoSpaceDE w:val="0"/>
        <w:widowControl/>
        <w:spacing w:line="206" w:lineRule="exact" w:before="162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“Proportionate Share” means, at any given time, the percentage equal to Shipper’s volume commitment divided by the total volume commitments at such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time.</w:t>
      </w:r>
    </w:p>
    <w:p>
      <w:pPr>
        <w:autoSpaceDN w:val="0"/>
        <w:autoSpaceDE w:val="0"/>
        <w:widowControl/>
        <w:spacing w:line="206" w:lineRule="exact" w:before="162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“Quarter” means the three (3) calendar month periods, or portion thereof, commencing January 1, April 1, July 1 and October 1 of each year during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Term hereof.</w:t>
      </w:r>
    </w:p>
    <w:p>
      <w:pPr>
        <w:autoSpaceDN w:val="0"/>
        <w:autoSpaceDE w:val="0"/>
        <w:widowControl/>
        <w:spacing w:line="210" w:lineRule="exact" w:before="158" w:after="0"/>
        <w:ind w:left="6" w:right="26" w:firstLine="0"/>
        <w:jc w:val="both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“Quarterly Volume Commitment” means Shipper’s commitment to ship, or otherwise pay for, each Contract Year of the fifteen (15) year term of this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Agreement, at posted Pipeline Tariff Rates as set forth in Exhibit B, which equals a total annual Product volume as determined from Exhibit C.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With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respect to the required quarterly volume, the volume of Product is equal to: (a) volume per day multiplied by; (b) the number of Days in such Quarter.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The Quarterly Volume Commitment will be reduced proportionately for any partial Quarter during the Term.</w:t>
      </w:r>
    </w:p>
    <w:p>
      <w:pPr>
        <w:autoSpaceDN w:val="0"/>
        <w:autoSpaceDE w:val="0"/>
        <w:widowControl/>
        <w:spacing w:line="174" w:lineRule="exact" w:before="172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“Representatives” has the meaning set forth in Section 7.1.</w:t>
      </w:r>
    </w:p>
    <w:p>
      <w:pPr>
        <w:autoSpaceDN w:val="0"/>
        <w:autoSpaceDE w:val="0"/>
        <w:widowControl/>
        <w:spacing w:line="174" w:lineRule="exact" w:before="194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“Requested Expansion Volume Commitment” has the meaning set forth in Section 6.6.</w:t>
      </w:r>
    </w:p>
    <w:p>
      <w:pPr>
        <w:autoSpaceDN w:val="0"/>
        <w:autoSpaceDE w:val="0"/>
        <w:widowControl/>
        <w:spacing w:line="172" w:lineRule="exact" w:before="196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“Shipper Deliveries” means the volume of Product that Shipper as the shipper of record delivered through the Pipeline.</w:t>
      </w:r>
    </w:p>
    <w:p>
      <w:pPr>
        <w:autoSpaceDN w:val="0"/>
        <w:autoSpaceDE w:val="0"/>
        <w:widowControl/>
        <w:spacing w:line="174" w:lineRule="exact" w:before="196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“Termination Notice” has the meaning set forth in 5.1.</w:t>
      </w:r>
    </w:p>
    <w:p>
      <w:pPr>
        <w:autoSpaceDN w:val="0"/>
        <w:autoSpaceDE w:val="0"/>
        <w:widowControl/>
        <w:spacing w:line="206" w:lineRule="exact" w:before="162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“Tariff” means the intrastate and/or interstate tariffs that set forth the rules, regulations and rates for services on the Pipeline, including supplements thereto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and reissues thereof, under which Product is transported through the Pipeline.</w:t>
      </w:r>
    </w:p>
    <w:p>
      <w:pPr>
        <w:autoSpaceDN w:val="0"/>
        <w:autoSpaceDE w:val="0"/>
        <w:widowControl/>
        <w:spacing w:line="174" w:lineRule="exact" w:before="194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“Tariff Rates” means the rates set forth in the Tariffs for transportation of Product on the Pipeline.</w:t>
      </w:r>
    </w:p>
    <w:p>
      <w:pPr>
        <w:autoSpaceDN w:val="0"/>
        <w:autoSpaceDE w:val="0"/>
        <w:widowControl/>
        <w:spacing w:line="172" w:lineRule="exact" w:before="196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“Term” has the meaning set forth in Section 2.2.</w:t>
      </w:r>
    </w:p>
    <w:p>
      <w:pPr>
        <w:autoSpaceDN w:val="0"/>
        <w:autoSpaceDE w:val="0"/>
        <w:widowControl/>
        <w:spacing w:line="172" w:lineRule="exact" w:before="196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“Unsubscribed Capacity” has the meaning set forth in Section 3.9.</w:t>
      </w:r>
    </w:p>
    <w:p>
      <w:pPr>
        <w:autoSpaceDN w:val="0"/>
        <w:tabs>
          <w:tab w:pos="526" w:val="left"/>
        </w:tabs>
        <w:autoSpaceDE w:val="0"/>
        <w:widowControl/>
        <w:spacing w:line="206" w:lineRule="exact" w:before="164" w:after="0"/>
        <w:ind w:left="6" w:right="4464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1.1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The following Exhibits are attached to and incorporated into this Agreement: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Exhibit A - Common Carrier Pipeline, including Origins and Destinations </w:t>
      </w:r>
      <w:r>
        <w:br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Exhibit B - Rate and Volume Commitment Table </w:t>
      </w:r>
      <w:r>
        <w:br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Exhibit C - Shipper’s Submitted Capacity Request Form</w:t>
      </w:r>
    </w:p>
    <w:p>
      <w:pPr>
        <w:autoSpaceDN w:val="0"/>
        <w:autoSpaceDE w:val="0"/>
        <w:widowControl/>
        <w:spacing w:line="174" w:lineRule="exact" w:before="194" w:after="0"/>
        <w:ind w:left="6" w:right="0" w:firstLine="0"/>
        <w:jc w:val="left"/>
      </w:pPr>
      <w:r>
        <w:rPr>
          <w:w w:val="101.99453690472771"/>
          <w:rFonts w:ascii="TimesNewRomanPS" w:hAnsi="TimesNewRomanPS" w:eastAsia="TimesNewRomanPS"/>
          <w:b/>
          <w:i w:val="0"/>
          <w:color w:val="000000"/>
          <w:sz w:val="17"/>
        </w:rPr>
        <w:t>2.</w:t>
      </w:r>
      <w:r>
        <w:rPr>
          <w:w w:val="101.99453690472771"/>
          <w:rFonts w:ascii="TimesNewRomanPS" w:hAnsi="TimesNewRomanPS" w:eastAsia="TimesNewRomanPS"/>
          <w:b/>
          <w:i w:val="0"/>
          <w:color w:val="000000"/>
          <w:sz w:val="17"/>
        </w:rPr>
        <w:t>Effective Date and Term</w:t>
      </w:r>
    </w:p>
    <w:p>
      <w:pPr>
        <w:autoSpaceDN w:val="0"/>
        <w:tabs>
          <w:tab w:pos="1048" w:val="left"/>
        </w:tabs>
        <w:autoSpaceDE w:val="0"/>
        <w:widowControl/>
        <w:spacing w:line="206" w:lineRule="exact" w:before="172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2.1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This Agreement is effective June 11, 2015 (the “Effective Date”). The Agreement shall continue through the project’s in-service date and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for a period of fifteen (15) years after the project’s in-service date (“Initial Term”). MPL shall provide written notice to Shipper</w:t>
      </w:r>
    </w:p>
    <w:p>
      <w:pPr>
        <w:autoSpaceDN w:val="0"/>
        <w:autoSpaceDE w:val="0"/>
        <w:widowControl/>
        <w:spacing w:line="140" w:lineRule="exact" w:before="20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4</w:t>
      </w:r>
    </w:p>
    <w:p>
      <w:pPr>
        <w:autoSpaceDN w:val="0"/>
        <w:autoSpaceDE w:val="0"/>
        <w:widowControl/>
        <w:spacing w:line="240" w:lineRule="auto" w:before="6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70" w:right="96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4"/>
        <w:ind w:left="0" w:right="0"/>
      </w:pPr>
    </w:p>
    <w:p>
      <w:pPr>
        <w:autoSpaceDN w:val="0"/>
        <w:autoSpaceDE w:val="0"/>
        <w:widowControl/>
        <w:spacing w:line="162" w:lineRule="exact" w:before="12" w:after="0"/>
        <w:ind w:left="6" w:right="26" w:firstLine="0"/>
        <w:jc w:val="both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confirming the project’s in-service date. Shipper acknowledges that the overall Project will be completed in several phases. New infrastructure will be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completed first, with additional build-out projects and expansions completed in succession. MPL will provide a thirty (30) day notice to Shipper,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notifying it of the actual in-service date for the included projects.</w:t>
      </w:r>
    </w:p>
    <w:p>
      <w:pPr>
        <w:autoSpaceDN w:val="0"/>
        <w:tabs>
          <w:tab w:pos="1048" w:val="left"/>
        </w:tabs>
        <w:autoSpaceDE w:val="0"/>
        <w:widowControl/>
        <w:spacing w:line="206" w:lineRule="exact" w:before="140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2.2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This Agreement shall be binding upon the Parties under the same conditions and provisions for a time period commencing on the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Effective Date and shall continue through the Initial Term. This Agreement will automatically renew for up to two (2) renewal terms of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  <w:u w:val="single"/>
        </w:rPr>
        <w:t>five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 (5) years each (each, an “Extension Period”) unless either Party provides the other Party with written notice of its intent to terminate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this Agreement at least six (6) months prior to the end of the Initial Term or the then current Extension Period. The Initial Term and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Extension Period, if any, shall be referred to in this Agreement as the “Term”.</w:t>
      </w:r>
    </w:p>
    <w:p>
      <w:pPr>
        <w:autoSpaceDN w:val="0"/>
        <w:tabs>
          <w:tab w:pos="1048" w:val="left"/>
        </w:tabs>
        <w:autoSpaceDE w:val="0"/>
        <w:widowControl/>
        <w:spacing w:line="206" w:lineRule="exact" w:before="162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2.3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In the event Shipper does not wish to renew after the Initial Term or Extension Period or chooses to terminate the Agreement by written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notice pursuant to Section 2.2, MPL reserves the option and right to hold a subsequent open season in which interested shippers can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have opportunity to contract for resulting available volume, rate, and terms.</w:t>
      </w:r>
    </w:p>
    <w:p>
      <w:pPr>
        <w:autoSpaceDN w:val="0"/>
        <w:tabs>
          <w:tab w:pos="526" w:val="left"/>
        </w:tabs>
        <w:autoSpaceDE w:val="0"/>
        <w:widowControl/>
        <w:spacing w:line="174" w:lineRule="exact" w:before="196" w:after="0"/>
        <w:ind w:left="6" w:right="0" w:firstLine="0"/>
        <w:jc w:val="left"/>
      </w:pPr>
      <w:r>
        <w:rPr>
          <w:w w:val="101.99453690472771"/>
          <w:rFonts w:ascii="TimesNewRomanPS" w:hAnsi="TimesNewRomanPS" w:eastAsia="TimesNewRomanPS"/>
          <w:b/>
          <w:i w:val="0"/>
          <w:color w:val="000000"/>
          <w:sz w:val="17"/>
        </w:rPr>
        <w:t xml:space="preserve">3. </w:t>
      </w:r>
      <w:r>
        <w:tab/>
      </w:r>
      <w:r>
        <w:rPr>
          <w:w w:val="101.99453690472771"/>
          <w:rFonts w:ascii="TimesNewRomanPS" w:hAnsi="TimesNewRomanPS" w:eastAsia="TimesNewRomanPS"/>
          <w:b/>
          <w:i w:val="0"/>
          <w:color w:val="000000"/>
          <w:sz w:val="17"/>
        </w:rPr>
        <w:t>Volume Commitment and Quarterly Deficiency Charges</w:t>
      </w:r>
    </w:p>
    <w:p>
      <w:pPr>
        <w:autoSpaceDN w:val="0"/>
        <w:tabs>
          <w:tab w:pos="1048" w:val="left"/>
        </w:tabs>
        <w:autoSpaceDE w:val="0"/>
        <w:widowControl/>
        <w:spacing w:line="206" w:lineRule="exact" w:before="160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3.1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Shipper guarantees that during each Contract Year, Shipper will meet its Quarterly Volume Commitment or, in the event it fails to do so,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shall remit to MPL the Quarterly Deficiency Payment pursuant to Section 3.5. All volumes moved by Shipper on the Pipeline will be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subject to the applicable Tariff Rates and proration policies, as may be amended from time to time in accordance with FERC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methodologies and as provided herein.</w:t>
      </w:r>
    </w:p>
    <w:p>
      <w:pPr>
        <w:autoSpaceDN w:val="0"/>
        <w:tabs>
          <w:tab w:pos="1048" w:val="left"/>
        </w:tabs>
        <w:autoSpaceDE w:val="0"/>
        <w:widowControl/>
        <w:spacing w:line="206" w:lineRule="exact" w:before="162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3.2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Shipper will have the opportunity to fulfill its Quarterly Volume Commitment on a calendar quarter basis for condensate, natural gasoline,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and diluent service. These three Products are interchangeable from a volume commitment standpoint and shipping a total volume of any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one or combination of these Products will be applied towards the Quarterly Volume Commitment. Should MPL proceed with butane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service, Shipper will also have the opportunity to fulfill its Quarterly Volume Commitment on a calendar quarter basis for butane service,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separate from condensate, natural gasoline, and diluent service.</w:t>
      </w:r>
    </w:p>
    <w:p>
      <w:pPr>
        <w:autoSpaceDN w:val="0"/>
        <w:tabs>
          <w:tab w:pos="1048" w:val="left"/>
        </w:tabs>
        <w:autoSpaceDE w:val="0"/>
        <w:widowControl/>
        <w:spacing w:line="204" w:lineRule="exact" w:before="166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3.3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Shipper shall be deemed to have shipped its Quarterly Volume Commitment on the Pipeline if the quantity of Product that Shipper ships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on the Pipeline in any Quarter equals at least the Quarterly Volume Commitment for such Quarter.</w:t>
      </w:r>
    </w:p>
    <w:p>
      <w:pPr>
        <w:autoSpaceDN w:val="0"/>
        <w:tabs>
          <w:tab w:pos="1048" w:val="left"/>
        </w:tabs>
        <w:autoSpaceDE w:val="0"/>
        <w:widowControl/>
        <w:spacing w:line="206" w:lineRule="exact" w:before="164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3.4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Shipper agrees to pay MPL monthly: (a) the Tariff Rates in effect for all Shipper Deliveries transported by MPL on the Pipeline during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such month; and (b) any loading, handling, transfer and other charges incurred with respect to such Shipper Deliveries for such month in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accordance with the provisions as set forth in the Tariffs (or any other tariffs that may be applicable to such Shipper Deliveries). If the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amount owed by Shipper is the subject of a good faith dispute, Shipper shall be obligated to pay only the undisputed portion of such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amount pending the resolution of such dispute in accordance with this Agreement. Late payments of undisputed amounts shall accrue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interest at a rate equal to two percent (2%) per annum, until paid. Such payments will be paid by Shipper to MPL within fifteen (15)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Days of the invoice date or resolution of any dispute, if applicable.</w:t>
      </w:r>
    </w:p>
    <w:p>
      <w:pPr>
        <w:autoSpaceDN w:val="0"/>
        <w:autoSpaceDE w:val="0"/>
        <w:widowControl/>
        <w:spacing w:line="140" w:lineRule="exact" w:before="36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5</w:t>
      </w:r>
    </w:p>
    <w:p>
      <w:pPr>
        <w:autoSpaceDN w:val="0"/>
        <w:autoSpaceDE w:val="0"/>
        <w:widowControl/>
        <w:spacing w:line="240" w:lineRule="auto" w:before="5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72" w:right="96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0"/>
        <w:ind w:left="0" w:right="0"/>
      </w:pPr>
    </w:p>
    <w:p>
      <w:pPr>
        <w:autoSpaceDN w:val="0"/>
        <w:tabs>
          <w:tab w:pos="1048" w:val="left"/>
        </w:tabs>
        <w:autoSpaceDE w:val="0"/>
        <w:widowControl/>
        <w:spacing w:line="198" w:lineRule="exact" w:before="0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3.5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Subject to the provisions of Section 5 of this Agreement, if the volume of each Product shipped by Shipper on the Pipeline during the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Quarter is less than the applicable Quarterly Volume Commitment for that Product then, in addition to paying any amounts incurred by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Shipper pursuant to Section 3.4 with respect to Shipper Deliveries for such Quarter, Shipper shall also pay MPL a deficiency payment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(the “Quarterly Deficiency Payment”); equal to the product of:</w:t>
      </w:r>
    </w:p>
    <w:p>
      <w:pPr>
        <w:autoSpaceDN w:val="0"/>
        <w:tabs>
          <w:tab w:pos="1308" w:val="left"/>
        </w:tabs>
        <w:autoSpaceDE w:val="0"/>
        <w:widowControl/>
        <w:spacing w:line="238" w:lineRule="exact" w:before="98" w:after="0"/>
        <w:ind w:left="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(a)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the difference between the applicable Quarterly Volume Commitment for that Product for such Quarter and the volume of Shipper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Deliveries of that Product on the Pipeline for such Quarter (the “Deficiency Volume”); and</w:t>
      </w:r>
    </w:p>
    <w:p>
      <w:pPr>
        <w:autoSpaceDN w:val="0"/>
        <w:tabs>
          <w:tab w:pos="1308" w:val="left"/>
        </w:tabs>
        <w:autoSpaceDE w:val="0"/>
        <w:widowControl/>
        <w:spacing w:line="174" w:lineRule="exact" w:before="162" w:after="0"/>
        <w:ind w:left="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(b)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the applicable Tariff Rate for that Product for such Quarter.</w:t>
      </w:r>
    </w:p>
    <w:p>
      <w:pPr>
        <w:autoSpaceDN w:val="0"/>
        <w:autoSpaceDE w:val="0"/>
        <w:widowControl/>
        <w:spacing w:line="206" w:lineRule="exact" w:before="162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Each Product to which the Shipper is obligated to move as part of its committed volumes will be added together for one total Quarterly Deficiency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Payment.</w:t>
      </w:r>
    </w:p>
    <w:p>
      <w:pPr>
        <w:autoSpaceDN w:val="0"/>
        <w:autoSpaceDE w:val="0"/>
        <w:widowControl/>
        <w:spacing w:line="206" w:lineRule="exact" w:before="162" w:after="0"/>
        <w:ind w:left="6" w:right="26" w:firstLine="0"/>
        <w:jc w:val="both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Shipper’s transportation of commodities outside this Agreement’s definition of Product will not satisfy the obligation to move committed Product volume.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All Product barrels moved by Shipper in excess of its Quarterly Volume Commitment will be attributed to Shipper’s movements on the Pipeline as a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Regular Shipper, subject to the applicable Rules &amp; Regulations of the Tariff.</w:t>
      </w:r>
    </w:p>
    <w:p>
      <w:pPr>
        <w:autoSpaceDN w:val="0"/>
        <w:tabs>
          <w:tab w:pos="1048" w:val="left"/>
        </w:tabs>
        <w:autoSpaceDE w:val="0"/>
        <w:widowControl/>
        <w:spacing w:line="206" w:lineRule="exact" w:before="162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3.6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The dollar amount of any Quarterly Deficiency Payment paid by Shipper shall constitute prepayment for transportation of Product by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Shipper on the Pipeline and will posted as a credit (“Prepaid Transportation Credits”) to Shipper’s account for that type of Product. If,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during any Quarter of the Contract Year, Shipper deliveries on the Pipeline exceed the applicable Quarterly Volume Commitment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requirements, Shipper shall be permitted to apply Prepaid Transportation Credits against any amount due from Shipper and payable to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MPL with respect to the transportation of volumes on the Pipeline for such Quarter. Any Prepaid Transportation Credits that are not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used by Shipper during the four (4) Quarters immediately following the Quarter for which said Prepaid Transportation Credits were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posted to Shipper’s account (the “Credit Period”) will expire. Those Prepaid Transportation Credits that are in payment dispute in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accordance with Section 3.4, shall be posted as a credit on the date the payment dispute is resolved. If during any such four (4) Quarter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period the nominated volume on the Pipeline for any month equals or exceeds the applicable portion in the Quarterly Volume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Commitment for the Pipeline for such month (the “Monthly Commitment”), but Shipper is prevented from shipping volumes in excess of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the Monthly Commitment because of lack of available capacity, either because (a) the Pipeline is in allocation and Shipper is specifically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subject to allocation per Exhibit C, (b) the Pipeline is undergoing testing, maintenance or repair, or (c) a Force Majeure has occurred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that prevents MPL from transporting Shipper volumes on the Pipeline in excess of the Monthly Commitment, then the Credit Period shall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be extended by an equivalent time period for which Shipper has been prevented from shipping volumes in excess of the Monthly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Commitment. For the purposes of this Section 3.6, during the Term, if the Pipeline is in allocation for any portion of the month, the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Pipeline will be considered to be in allocation for the entirety of such month.</w:t>
      </w:r>
    </w:p>
    <w:p>
      <w:pPr>
        <w:autoSpaceDN w:val="0"/>
        <w:tabs>
          <w:tab w:pos="1048" w:val="left"/>
        </w:tabs>
        <w:autoSpaceDE w:val="0"/>
        <w:widowControl/>
        <w:spacing w:line="206" w:lineRule="exact" w:before="164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3.7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Notwithstanding anything in Section 3.5 to the contrary, upon the expiration or termination of this Agreement for any reason to the extent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that Shipper, at the time of such expiration or termination, holds any unused Prepaid Transportation Credits, Shipper shall be permitted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to apply such Prepaid Transportation Credits against any amounts incurred by Shipper and</w:t>
      </w:r>
    </w:p>
    <w:p>
      <w:pPr>
        <w:autoSpaceDN w:val="0"/>
        <w:autoSpaceDE w:val="0"/>
        <w:widowControl/>
        <w:spacing w:line="140" w:lineRule="exact" w:before="19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6</w:t>
      </w:r>
    </w:p>
    <w:p>
      <w:pPr>
        <w:autoSpaceDN w:val="0"/>
        <w:autoSpaceDE w:val="0"/>
        <w:widowControl/>
        <w:spacing w:line="240" w:lineRule="auto" w:before="5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90" w:right="96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p>
      <w:pPr>
        <w:autoSpaceDN w:val="0"/>
        <w:autoSpaceDE w:val="0"/>
        <w:widowControl/>
        <w:spacing w:line="162" w:lineRule="exact" w:before="12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payable to MPL with respect to any Shipper deliveries on the Pipeline until the expiration of the applicable Credit Period with respect to such Prepaid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Transportation Credits. This Section 3.7 shall survive the expiration or termination of this Agreement.</w:t>
      </w:r>
    </w:p>
    <w:p>
      <w:pPr>
        <w:autoSpaceDN w:val="0"/>
        <w:tabs>
          <w:tab w:pos="1048" w:val="left"/>
        </w:tabs>
        <w:autoSpaceDE w:val="0"/>
        <w:widowControl/>
        <w:spacing w:line="206" w:lineRule="exact" w:before="140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3.8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Shipper may not apply Prepaid Transportation Credits on differing types of Products; i.e, a Shipper may not use Prepaid Transportation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Credits received for butane service on condensate, natural gasoline, or diluent service, or vice versa. Condensate, natural gasoline, and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diluent are interchangeable from a volume commitment standpoint and shipping a total volume of any one or combination of these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Products will be applied towards the Quarterly Volume Commitment. Should MPL proceed with butane service, Shipper will also have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the opportunity to fulfill its Quarterly Volume Commitment on a calendar quarter basis for butane service, separate from condensate,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natural gasoline, and diluent service.</w:t>
      </w:r>
    </w:p>
    <w:p>
      <w:pPr>
        <w:autoSpaceDN w:val="0"/>
        <w:tabs>
          <w:tab w:pos="1048" w:val="left"/>
        </w:tabs>
        <w:autoSpaceDE w:val="0"/>
        <w:widowControl/>
        <w:spacing w:line="206" w:lineRule="exact" w:before="162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3.9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If, following the binding open season and prior to the in-service date of the Tariff, MPL determines that it has available capacity not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subscribed to during the binding open season, not to exceed 90% of Project Capacity (“Unsubscribed Capacity”), to the extent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permitted by Governmental Authority; MPL will provide Shipper the right to increase its Quarterly Volume Commitment as submitted on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its Capacity Request Form on Exhibit C. MPL will provide at least sixty (60) days’ advance written notice, simultaneously, to all shippers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(including Shipper) who have executed a transportation service agreement during the binding open season of the availability and volume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of Unsubscribed Capacity for additional volume commitments (the “Additional Volume Commitments”). No later than thirty (30) days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following the date of MPL’s written notice, Shipper must provide MPL with a written binding commitment identifying the additional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volumes to be added to its Quarterly Volume Commitment (“Pre-Service Increase Request”). In the event MPL receives Pre-Service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Increase Requests that are, in aggregate, less than or equal to the Unsubscribed Capacity, each shipper’s volume commitment shall be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increased by the volume of its Pre-Service Increase Request. In the event MPL receives Pre-Service Increase Requests that would, in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aggregate, exceed the Unsubscribed Capacity, all Shippers will be allocated their Pre-Service Increases pro rata based on their then-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current volume commitments. If Shipper makes a Pre-Service Increase Request, MPL shall notify Shipper of its new Quarterly Volume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Commitment within thirty (30) days following receipt of Shipper’s Pre-Service Increase Request, and Exhibit C shall be deemed revised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to reflect Shipper’s new volume commitment, which shall equal the sum of its original Capacity Request Form volume commitment and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its Pre-Service Increase Request or its allocated portion thereof pursuant to this Section 3.9. If there is still Unsubscribed Capacity after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shippers (including Shipper) exercise Additional Volume Commitments as set forth above, MPL may conduct a second open season to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obtain additional volume commitments for any remaining Unsubscribed Capacity.</w:t>
      </w:r>
    </w:p>
    <w:p>
      <w:pPr>
        <w:autoSpaceDN w:val="0"/>
        <w:tabs>
          <w:tab w:pos="1048" w:val="left"/>
        </w:tabs>
        <w:autoSpaceDE w:val="0"/>
        <w:widowControl/>
        <w:spacing w:line="174" w:lineRule="exact" w:before="196" w:after="0"/>
        <w:ind w:left="6" w:right="0" w:firstLine="0"/>
        <w:jc w:val="left"/>
      </w:pPr>
      <w:r>
        <w:rPr>
          <w:w w:val="101.99453690472771"/>
          <w:rFonts w:ascii="TimesNewRomanPS" w:hAnsi="TimesNewRomanPS" w:eastAsia="TimesNewRomanPS"/>
          <w:b/>
          <w:i w:val="0"/>
          <w:color w:val="000000"/>
          <w:sz w:val="17"/>
        </w:rPr>
        <w:t xml:space="preserve">4. </w:t>
      </w:r>
      <w:r>
        <w:tab/>
      </w:r>
      <w:r>
        <w:rPr>
          <w:w w:val="101.99453690472771"/>
          <w:rFonts w:ascii="TimesNewRomanPS" w:hAnsi="TimesNewRomanPS" w:eastAsia="TimesNewRomanPS"/>
          <w:b/>
          <w:i w:val="0"/>
          <w:color w:val="000000"/>
          <w:sz w:val="17"/>
        </w:rPr>
        <w:t>Transportation Charges</w:t>
      </w:r>
    </w:p>
    <w:p>
      <w:pPr>
        <w:autoSpaceDN w:val="0"/>
        <w:tabs>
          <w:tab w:pos="1048" w:val="left"/>
        </w:tabs>
        <w:autoSpaceDE w:val="0"/>
        <w:widowControl/>
        <w:spacing w:line="206" w:lineRule="exact" w:before="162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4.1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Shipper shall pay MPL a transportation charge for each Barrel of Product shipped under the terms of this Agreement and Exhibit C, at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the rates provided for in Exhibit B, which shall be the Tariff Rates for the volume commitment on the Day of delivery of Product.</w:t>
      </w:r>
    </w:p>
    <w:p>
      <w:pPr>
        <w:autoSpaceDN w:val="0"/>
        <w:tabs>
          <w:tab w:pos="1048" w:val="left"/>
        </w:tabs>
        <w:autoSpaceDE w:val="0"/>
        <w:widowControl/>
        <w:spacing w:line="206" w:lineRule="exact" w:before="162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4.2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The rates in Exhibit B will be adjusted annually in accordance with the standard FERC annual oil pipeline indexing methodology in effect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at the time of the escalation. There shall be no downward adjustment of the Rates in the event the annual FERC oil pipeline index rate is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negative. Rates will typically be indexed during July of each year and would be first indexed in July of the year following project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completion.</w:t>
      </w:r>
    </w:p>
    <w:p>
      <w:pPr>
        <w:autoSpaceDN w:val="0"/>
        <w:autoSpaceDE w:val="0"/>
        <w:widowControl/>
        <w:spacing w:line="140" w:lineRule="exact" w:before="19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7</w:t>
      </w:r>
    </w:p>
    <w:p>
      <w:pPr>
        <w:autoSpaceDN w:val="0"/>
        <w:autoSpaceDE w:val="0"/>
        <w:widowControl/>
        <w:spacing w:line="240" w:lineRule="auto" w:before="6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78" w:right="96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tabs>
          <w:tab w:pos="1048" w:val="left"/>
        </w:tabs>
        <w:autoSpaceDE w:val="0"/>
        <w:widowControl/>
        <w:spacing w:line="198" w:lineRule="exact" w:before="0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4.3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If during the term of this Agreement, MPL becomes obligated as a result of a Change in Law Event to bear Compliance Costs, MPL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shall have the right to increase the Tariff Rates on the Pipeline, including Shipper’s committed rate as originally executed on Exhibit B in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this Agreement or to impose a surcharge on its shippers (including Shipper) to recover such Compliance Costs. If MPL determines to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recover any Compliance Costs from its shippers, it will do so in a manner that is reasonable and equitable to all shippers on the Pipeline.</w:t>
      </w:r>
    </w:p>
    <w:p>
      <w:pPr>
        <w:autoSpaceDN w:val="0"/>
        <w:tabs>
          <w:tab w:pos="1048" w:val="left"/>
        </w:tabs>
        <w:autoSpaceDE w:val="0"/>
        <w:widowControl/>
        <w:spacing w:line="206" w:lineRule="exact" w:before="162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4.4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A “Committed Priority Shipper” will receive transportation service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  <w:u w:val="single"/>
        </w:rPr>
        <w:t>exempt from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 prorationing provisions under normal operating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conditions for its contractually committed volumes, in exchange for a commitment to transport (or pay for) those volumes, pursuant to the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terms of this Agreement executed during the open season process. The rates vary depending upon project options, but in all instances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will be $0.01 per barrel above the rates for uncommitted service for the same origin and destination points. A Committed Priority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Shipper will have the same rates as the Committed Non-Priority Shipper (as defined below), unless the system in under prorationing.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When under prorationing, the Committed Priority Shipper’s rate will be charged the premium rate of $0.01 above the posted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uncommitted rate. Shipper shall not be a Committed Priority Shipper solely through this Agreement. Shipper must submit a Capacity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Request Form during MPL’s binding open season (Exhibit C) which confirms the Shipper has elected Committed Priority Shipper Status.</w:t>
      </w:r>
    </w:p>
    <w:p>
      <w:pPr>
        <w:autoSpaceDN w:val="0"/>
        <w:tabs>
          <w:tab w:pos="1048" w:val="left"/>
        </w:tabs>
        <w:autoSpaceDE w:val="0"/>
        <w:widowControl/>
        <w:spacing w:line="206" w:lineRule="exact" w:before="162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4.5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A “Committed Non-Priority Shipper” will receive transportation service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  <w:u w:val="single"/>
        </w:rPr>
        <w:t>subject to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 prorationing provisions for its contractually committed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volumes, in exchange for a commitment to transport (or pay for) those volumes, pursuant to the terms of this Agreement executed during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the open season process. Those who elect to become a Committed Non-Priority Shipper will receive the benefit of discounted rates that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will not be available to the Committed Priority Shippers or the uncommitted shippers. The rates will vary depending upon project options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and commitment duration. MPL will not presume Shipper to be a Committed Non-Priority Shipper solely through this Agreement, unless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the Capacity Request Form submitted by Shipper during MPL’s binding open season (Exhibit C) shows the Shipper has elected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Committed Non-Priority Shipper Status.</w:t>
      </w:r>
    </w:p>
    <w:p>
      <w:pPr>
        <w:autoSpaceDN w:val="0"/>
        <w:autoSpaceDE w:val="0"/>
        <w:widowControl/>
        <w:spacing w:line="172" w:lineRule="exact" w:before="196" w:after="0"/>
        <w:ind w:left="6" w:right="0" w:firstLine="0"/>
        <w:jc w:val="left"/>
      </w:pPr>
      <w:r>
        <w:rPr>
          <w:w w:val="101.99453690472771"/>
          <w:rFonts w:ascii="TimesNewRomanPS" w:hAnsi="TimesNewRomanPS" w:eastAsia="TimesNewRomanPS"/>
          <w:b/>
          <w:i w:val="0"/>
          <w:color w:val="000000"/>
          <w:sz w:val="17"/>
        </w:rPr>
        <w:t>5.</w:t>
      </w:r>
      <w:r>
        <w:rPr>
          <w:w w:val="101.99453690472771"/>
          <w:rFonts w:ascii="TimesNewRomanPS" w:hAnsi="TimesNewRomanPS" w:eastAsia="TimesNewRomanPS"/>
          <w:b/>
          <w:i w:val="0"/>
          <w:color w:val="000000"/>
          <w:sz w:val="17"/>
        </w:rPr>
        <w:t>Force Majeure</w:t>
      </w:r>
    </w:p>
    <w:p>
      <w:pPr>
        <w:autoSpaceDN w:val="0"/>
        <w:tabs>
          <w:tab w:pos="1048" w:val="left"/>
        </w:tabs>
        <w:autoSpaceDE w:val="0"/>
        <w:widowControl/>
        <w:spacing w:line="206" w:lineRule="exact" w:before="174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5.1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As soon as possible upon the occurrence of a Force Majeure event, the affected Party shall provide the other Party written notice of the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occurrence of such Force Majeure event (a “Force Majeure Notice”). A Party shall identify the full particulars and the approximate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length of time that the Party reasonably believes in good faith such Force Majeure event shall continue (the “Force Majeure Period”). If a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Party advises in any Force Majeure Notice that it reasonably believes in good faith that the Force Majeure Period shall continue for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more than twelve (12) consecutive months, then, subject to Section 10 below, at any time after a Party delivers such Force Majeure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Notice, either Party may terminate this Agreement, but only upon delivery to the other Party of a notice (a “Termination Notice”) at least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twelve (12) months prior to the expiration of the Force Majeure Period; provided, however, that such Termination Notice shall be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deemed canceled and of no effect if the Force Majeure Period ends prior to the expiration of such twelve (12) months period. For the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avoidance of doubt, neither Party may exercise its right under this Section 5.1 to terminate this Agreement as a result of a Force Majeure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event with respect to any machinery, storage, tanks, lines of pipe or other equipment that has been unaffected by, or has been restored to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working order since, the applicable Force Majeure event.</w:t>
      </w:r>
    </w:p>
    <w:p>
      <w:pPr>
        <w:autoSpaceDN w:val="0"/>
        <w:autoSpaceDE w:val="0"/>
        <w:widowControl/>
        <w:spacing w:line="142" w:lineRule="exact" w:before="19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8</w:t>
      </w:r>
    </w:p>
    <w:p>
      <w:pPr>
        <w:autoSpaceDN w:val="0"/>
        <w:autoSpaceDE w:val="0"/>
        <w:widowControl/>
        <w:spacing w:line="240" w:lineRule="auto" w:before="5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66" w:right="96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2"/>
        <w:ind w:left="0" w:right="0"/>
      </w:pPr>
    </w:p>
    <w:p>
      <w:pPr>
        <w:autoSpaceDN w:val="0"/>
        <w:tabs>
          <w:tab w:pos="1048" w:val="left"/>
        </w:tabs>
        <w:autoSpaceDE w:val="0"/>
        <w:widowControl/>
        <w:spacing w:line="198" w:lineRule="exact" w:before="0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5.2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Notwithstanding the foregoing, if Shipper delivers a Termination Notice to MPL and, within thirty (30) days after receiving such notice,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MPL notifies Shipper that MPL reasonably believes in good faith that it shall be capable of fully performing under its obligations under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this Agreement within a reasonable period of time, then the Shipper Termination Notice shall be deemed revoked and the applicable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portion of this Agreement shall continue in full force and effect as if such Shipper Termination Notice had never been given.</w:t>
      </w:r>
    </w:p>
    <w:p>
      <w:pPr>
        <w:autoSpaceDN w:val="0"/>
        <w:tabs>
          <w:tab w:pos="1048" w:val="left"/>
        </w:tabs>
        <w:autoSpaceDE w:val="0"/>
        <w:widowControl/>
        <w:spacing w:line="206" w:lineRule="exact" w:before="164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5.3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Subject to Section 6 of this Agreement, MPL’s obligation to transport on the Pipeline may be temporarily suspended during occurrences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of, and for the entire duration of, a Force Majeure event that prevents MPL from transporting on the Pipeline. If MPL is unable to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transport due to a Force Majeure event or otherwise, then Shipper’s obligation to ship the applicable Quarterly Volume Commitment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and pay the applicable Quarterly Deficiency Payment shall be reduced to the extent that MPL is prevented from shipping the full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applicable Quarterly Volume Commitment. At such time as MPL is capable of transporting volumes equal to the full applicable Quarterly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Volume Commitment on the Pipeline, Shipper’s obligation to ship the full Quarterly Volume Commitment shall be restored.</w:t>
      </w:r>
    </w:p>
    <w:p>
      <w:pPr>
        <w:autoSpaceDN w:val="0"/>
        <w:autoSpaceDE w:val="0"/>
        <w:widowControl/>
        <w:spacing w:line="174" w:lineRule="exact" w:before="196" w:after="0"/>
        <w:ind w:left="6" w:right="0" w:firstLine="0"/>
        <w:jc w:val="left"/>
      </w:pPr>
      <w:r>
        <w:rPr>
          <w:w w:val="101.99453690472771"/>
          <w:rFonts w:ascii="TimesNewRomanPS" w:hAnsi="TimesNewRomanPS" w:eastAsia="TimesNewRomanPS"/>
          <w:b/>
          <w:i w:val="0"/>
          <w:color w:val="000000"/>
          <w:sz w:val="17"/>
        </w:rPr>
        <w:t>6.</w:t>
      </w:r>
      <w:r>
        <w:rPr>
          <w:w w:val="101.99453690472771"/>
          <w:rFonts w:ascii="TimesNewRomanPS" w:hAnsi="TimesNewRomanPS" w:eastAsia="TimesNewRomanPS"/>
          <w:b/>
          <w:i w:val="0"/>
          <w:color w:val="000000"/>
          <w:sz w:val="17"/>
        </w:rPr>
        <w:t>Capabilities of the Pipeline System</w:t>
      </w:r>
    </w:p>
    <w:p>
      <w:pPr>
        <w:autoSpaceDN w:val="0"/>
        <w:tabs>
          <w:tab w:pos="1048" w:val="left"/>
        </w:tabs>
        <w:autoSpaceDE w:val="0"/>
        <w:widowControl/>
        <w:spacing w:line="206" w:lineRule="exact" w:before="172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6.1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MPL shall use reasonable commercial efforts to minimize the disruption of service on the Pipeline and any portion thereof. MPL shall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promptly inform Shipper of any anticipated partial or complete disruption of service on the Pipeline, including relevant information about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the nature, extent, cause and expected duration of the disruption and the actions MPL is taking to resume full operations, provided that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MPL shall not have any liability for any failure to notify, or delay in notifying, Shipper of any such matters except to the extent Shipper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has been materially prejudiced or damaged by such failure or delay.</w:t>
      </w:r>
    </w:p>
    <w:p>
      <w:pPr>
        <w:autoSpaceDN w:val="0"/>
        <w:tabs>
          <w:tab w:pos="1048" w:val="left"/>
        </w:tabs>
        <w:autoSpaceDE w:val="0"/>
        <w:widowControl/>
        <w:spacing w:line="206" w:lineRule="exact" w:before="162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6.2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Subject to Force Majeure, disruptions for routine repair and maintenance consistent with pipeline industry standards and any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requirements of Applicable Law, MPL shall accept for shipment on the Pipeline in accordance with pipeline industry standard Product.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Further, MPL shall maintain and repair all portions of the Pipeline in accordance with pipeline industry standards and in a manner which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allows the Pipeline to be capable, subject to Force Majeure or temporary shutdown for pipeline testing and maintenance, of shipping,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storing and delivering volumes of Product.</w:t>
      </w:r>
    </w:p>
    <w:p>
      <w:pPr>
        <w:autoSpaceDN w:val="0"/>
        <w:tabs>
          <w:tab w:pos="1048" w:val="left"/>
        </w:tabs>
        <w:autoSpaceDE w:val="0"/>
        <w:widowControl/>
        <w:spacing w:line="206" w:lineRule="exact" w:before="162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6.3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If the Shipper has agreed to pay, pursuant to Exhibit B and Exhibit C, a premium rate for transportation of Product on the Pipeline, the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Shipper Deliveries shall not be reduced under normal operating conditions if the capacity for Product shipments is otherwise subject to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prorationing in accordance with the prorationing provisions in MPL’s Rules and Regulations Tariff.</w:t>
      </w:r>
    </w:p>
    <w:p>
      <w:pPr>
        <w:autoSpaceDN w:val="0"/>
        <w:tabs>
          <w:tab w:pos="1048" w:val="left"/>
        </w:tabs>
        <w:autoSpaceDE w:val="0"/>
        <w:widowControl/>
        <w:spacing w:line="206" w:lineRule="exact" w:before="164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6.4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If, for any reason, including without limitation a Force Majeure event, the capacity of the Pipeline is reduced, then (a) during such period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of reduced capacity, Shipper’s obligation shall be reduced as described above in this Section 6; and (b) within a reasonable period of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time after commencement of such reduction, MPL shall make repairs to and/or replace the affected portion of the Pipeline to restore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capacity. MPL shall use commercially reasonable efforts to continue to provide transportation of Product tendered by Shipper under the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Tariffs while restoration is being completed. Any work performed by MPL pursuant to this Section 6.4</w:t>
      </w:r>
    </w:p>
    <w:p>
      <w:pPr>
        <w:autoSpaceDN w:val="0"/>
        <w:autoSpaceDE w:val="0"/>
        <w:widowControl/>
        <w:spacing w:line="142" w:lineRule="exact" w:before="19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9</w:t>
      </w:r>
    </w:p>
    <w:p>
      <w:pPr>
        <w:autoSpaceDN w:val="0"/>
        <w:autoSpaceDE w:val="0"/>
        <w:widowControl/>
        <w:spacing w:line="240" w:lineRule="auto" w:before="5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70" w:right="96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p>
      <w:pPr>
        <w:autoSpaceDN w:val="0"/>
        <w:autoSpaceDE w:val="0"/>
        <w:widowControl/>
        <w:spacing w:line="162" w:lineRule="exact" w:before="12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shall be performed and completed in a good and workmanlike manner consistent with applicable pipeline industry standards and in accordance with all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applicable laws.</w:t>
      </w:r>
    </w:p>
    <w:p>
      <w:pPr>
        <w:autoSpaceDN w:val="0"/>
        <w:tabs>
          <w:tab w:pos="1048" w:val="left"/>
        </w:tabs>
        <w:autoSpaceDE w:val="0"/>
        <w:widowControl/>
        <w:spacing w:line="206" w:lineRule="exact" w:before="140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6.5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Expansion of Pipeline. MPL reserves the right, at its sole discretion, to expand the capacity of the Pipeline at any time or from time to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time.</w:t>
      </w:r>
    </w:p>
    <w:p>
      <w:pPr>
        <w:autoSpaceDN w:val="0"/>
        <w:tabs>
          <w:tab w:pos="1048" w:val="left"/>
        </w:tabs>
        <w:autoSpaceDE w:val="0"/>
        <w:widowControl/>
        <w:spacing w:line="206" w:lineRule="exact" w:before="162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6.6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Right of Shipper to Secure Expansion Capacity. In the event that MPL decides in its sole discretion to expand the capacity of the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Pipeline, then:</w:t>
      </w:r>
    </w:p>
    <w:p>
      <w:pPr>
        <w:autoSpaceDN w:val="0"/>
        <w:tabs>
          <w:tab w:pos="1568" w:val="left"/>
        </w:tabs>
        <w:autoSpaceDE w:val="0"/>
        <w:widowControl/>
        <w:spacing w:line="206" w:lineRule="exact" w:before="88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(a)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MPL will provide each Shipper with notice of such proposed expansion not less than one hundred and eighty (180) days prior to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the expected in-service date of such proposed expansion (“Expansion Notice”) and such Expansion Notice shall include:</w:t>
      </w:r>
    </w:p>
    <w:p>
      <w:pPr>
        <w:autoSpaceDN w:val="0"/>
        <w:autoSpaceDE w:val="0"/>
        <w:widowControl/>
        <w:spacing w:line="174" w:lineRule="exact" w:before="118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(i)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the amount of the proposed expansion capacity;</w:t>
      </w:r>
    </w:p>
    <w:p>
      <w:pPr>
        <w:autoSpaceDN w:val="0"/>
        <w:autoSpaceDE w:val="0"/>
        <w:widowControl/>
        <w:spacing w:line="174" w:lineRule="exact" w:before="130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(ii)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the expected rates and rules and regulations that will apply to such expansion capacity;</w:t>
      </w:r>
    </w:p>
    <w:p>
      <w:pPr>
        <w:autoSpaceDN w:val="0"/>
        <w:autoSpaceDE w:val="0"/>
        <w:widowControl/>
        <w:spacing w:line="172" w:lineRule="exact" w:before="130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(iii)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the expected in-service date of such expansion/extension.</w:t>
      </w:r>
    </w:p>
    <w:p>
      <w:pPr>
        <w:autoSpaceDN w:val="0"/>
        <w:autoSpaceDE w:val="0"/>
        <w:widowControl/>
        <w:spacing w:line="174" w:lineRule="exact" w:before="130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The costs of any expansion shall not be rolled into the rates associated with any Pipeline capacity existing prior to such expansion.</w:t>
      </w:r>
    </w:p>
    <w:p>
      <w:pPr>
        <w:autoSpaceDN w:val="0"/>
        <w:tabs>
          <w:tab w:pos="1568" w:val="left"/>
        </w:tabs>
        <w:autoSpaceDE w:val="0"/>
        <w:widowControl/>
        <w:spacing w:line="206" w:lineRule="exact" w:before="86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(b)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To the extent permitted by Governmental Authorities, MPL will provide to each Shipper a first right, on terms and conditions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specified by MPL that is consistent with this first right, to submit a binding nomination to ship, or otherwise pay for, a committed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volume of Product on the expansion capacity (“Requested Expansion Volume Commitment”). The amount of expansion capacity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available for volume commitments pursuant to this Section 6.6 shall not exceed ninety percent (90%) of the total expansion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capacity. No later than sixty (60) days following the date of MPL’s Expansion Notice, Shipper must commit to, in a form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acceptable to MPL in MPL’s sole discretion, its Requested Expansion Volume Commitment (“Election Deadline”). In the event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that, pursuant to this first right, MPL receives binding commitments for volumes that exceed the expansion capacity available for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committed volumes, each Shipper that submitted a binding commitment pursuant to this first right procedure shall be allocated the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lesser of: (i) its Requested Expansion Volume Commitment, or (ii) the Shipper’s pro-rata share of the expansion capacity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available for committed volumes, which shall be calculated by multiplying (1) the Shipper’s Proportionate Share, times (2) the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expansion capacity available for committed volumes (“Expansion Volume Commitment”). MPL shall notify Shipper of its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Expansion Volume Commitment within thirty (30) days following the Election Deadline, and the Parties shall promptly execute a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new and separate transportation service agreement reflecting Shipper’s Expansion Volume Commitment. Any calculation of an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Expansion Volume Commitment shall be without regard to and shall not affect any Volume Commitment on pre-existing capacity.</w:t>
      </w:r>
    </w:p>
    <w:p>
      <w:pPr>
        <w:autoSpaceDN w:val="0"/>
        <w:tabs>
          <w:tab w:pos="1568" w:val="left"/>
        </w:tabs>
        <w:autoSpaceDE w:val="0"/>
        <w:widowControl/>
        <w:spacing w:line="206" w:lineRule="exact" w:before="86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(c)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In the event that any expansion capacity available for committed volumes remains after the procedure set forth in Section 6.6 is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completed, MPL has the right, in its sole discretion, to offer such committed capacity pursuant to an open season in which all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interested shippers will be given an opportunity to commit to transport a specified volume of Product on such remaining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expansion capacity, subject to the terms and conditions specified by MPL pursuant to or in connection with such open season.</w:t>
      </w:r>
    </w:p>
    <w:p>
      <w:pPr>
        <w:autoSpaceDN w:val="0"/>
        <w:autoSpaceDE w:val="0"/>
        <w:widowControl/>
        <w:spacing w:line="142" w:lineRule="exact" w:before="36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10</w:t>
      </w:r>
    </w:p>
    <w:p>
      <w:pPr>
        <w:autoSpaceDN w:val="0"/>
        <w:autoSpaceDE w:val="0"/>
        <w:widowControl/>
        <w:spacing w:line="240" w:lineRule="auto" w:before="5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78" w:right="96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0"/>
        <w:ind w:left="0" w:right="0"/>
      </w:pPr>
    </w:p>
    <w:p>
      <w:pPr>
        <w:autoSpaceDN w:val="0"/>
        <w:autoSpaceDE w:val="0"/>
        <w:widowControl/>
        <w:spacing w:line="174" w:lineRule="exact" w:before="0" w:after="0"/>
        <w:ind w:left="6" w:right="0" w:firstLine="0"/>
        <w:jc w:val="left"/>
      </w:pPr>
      <w:r>
        <w:rPr>
          <w:w w:val="101.99453690472771"/>
          <w:rFonts w:ascii="TimesNewRomanPS" w:hAnsi="TimesNewRomanPS" w:eastAsia="TimesNewRomanPS"/>
          <w:b/>
          <w:i w:val="0"/>
          <w:color w:val="000000"/>
          <w:sz w:val="17"/>
        </w:rPr>
        <w:t>7 Confidentiality</w:t>
      </w:r>
    </w:p>
    <w:p>
      <w:pPr>
        <w:autoSpaceDN w:val="0"/>
        <w:tabs>
          <w:tab w:pos="1048" w:val="left"/>
        </w:tabs>
        <w:autoSpaceDE w:val="0"/>
        <w:widowControl/>
        <w:spacing w:line="206" w:lineRule="exact" w:before="162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7.1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From and after the Effective Date, each Party shall hold, and shall cause its Affiliates and its and their respective directors, managers,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officers, employees, agents, consultants, advisors, contractors, and other representatives (collectively, “Representatives”) to hold all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Confidential Information of the other Party in strict confidence, with at least the same degree of care that applies to such Party’s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confidential and proprietary information and shall not use such Confidential Information except in connection with its performance or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acceptance of services hereunder and shall not release or disclose such Confidential Information to any other Person, except its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Representatives. Each Party shall be responsible for any breach of this Section 7 by any of its Representatives.</w:t>
      </w:r>
    </w:p>
    <w:p>
      <w:pPr>
        <w:autoSpaceDN w:val="0"/>
        <w:tabs>
          <w:tab w:pos="1048" w:val="left"/>
        </w:tabs>
        <w:autoSpaceDE w:val="0"/>
        <w:widowControl/>
        <w:spacing w:line="206" w:lineRule="exact" w:before="164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7.2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If a Party receives a subpoena or other demand for disclosure of Confidential Information received from any other Party or must disclose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to a Governmental Authority any Confidential Information received from such other Party in order to obtain or maintain any required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governmental approval, the receiving Party shall, to the extent legally permissible, provide notice to the providing Party before disclosing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such Confidential Information. Upon receipt of such notice, the providing Party shall promptly either seek an appropriate protective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order, waive the receiving Party’s confidentiality obligations hereunder to the extent necessary to permit the receiving Party to respond to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the demand, or otherwise fully satisfy the subpoena or demand or the requirements of the applicable Governmental Authority. If the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receiving Party is legally compelled to disclose such Confidential Information or if the providing Party does not promptly respond as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contemplated by this Section 7, the receiving Party may disclose that portion of Confidential Information covered by the notice or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demand.</w:t>
      </w:r>
    </w:p>
    <w:p>
      <w:pPr>
        <w:autoSpaceDN w:val="0"/>
        <w:tabs>
          <w:tab w:pos="1048" w:val="left"/>
        </w:tabs>
        <w:autoSpaceDE w:val="0"/>
        <w:widowControl/>
        <w:spacing w:line="206" w:lineRule="exact" w:before="162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7.3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Each Party acknowledges that the disclosing Party would not have an adequate remedy at law for the breach by the receiving Party of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any one or more of the covenants contained in this Section 7 and agrees that, in the event of such breach, the disclosing Party may, in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addition to the other remedies that may be available to it, apply to a court for an injunction to prevent breaches of this Section 7 and to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enforce specifically the terms and provisions of this Section 7. Notwithstanding any other section hereof, the provisions of this Section 7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shall survive the termination of this Agreement.</w:t>
      </w:r>
    </w:p>
    <w:p>
      <w:pPr>
        <w:autoSpaceDN w:val="0"/>
        <w:autoSpaceDE w:val="0"/>
        <w:widowControl/>
        <w:spacing w:line="174" w:lineRule="exact" w:before="196" w:after="0"/>
        <w:ind w:left="6" w:right="0" w:firstLine="0"/>
        <w:jc w:val="left"/>
      </w:pPr>
      <w:r>
        <w:rPr>
          <w:w w:val="101.99453690472771"/>
          <w:rFonts w:ascii="TimesNewRomanPS" w:hAnsi="TimesNewRomanPS" w:eastAsia="TimesNewRomanPS"/>
          <w:b/>
          <w:i w:val="0"/>
          <w:color w:val="000000"/>
          <w:sz w:val="17"/>
        </w:rPr>
        <w:t>8.</w:t>
      </w:r>
      <w:r>
        <w:rPr>
          <w:w w:val="101.99453690472771"/>
          <w:rFonts w:ascii="TimesNewRomanPS" w:hAnsi="TimesNewRomanPS" w:eastAsia="TimesNewRomanPS"/>
          <w:b/>
          <w:i w:val="0"/>
          <w:color w:val="000000"/>
          <w:sz w:val="17"/>
        </w:rPr>
        <w:t>Assignment</w:t>
      </w:r>
    </w:p>
    <w:p>
      <w:pPr>
        <w:autoSpaceDN w:val="0"/>
        <w:tabs>
          <w:tab w:pos="1048" w:val="left"/>
        </w:tabs>
        <w:autoSpaceDE w:val="0"/>
        <w:widowControl/>
        <w:spacing w:line="206" w:lineRule="exact" w:before="172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8.1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Neither Party may assign its rights under this Agreement without prior written consent from the other Party, which consent shall not be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unreasonably withheld; </w:t>
      </w:r>
      <w:r>
        <w:rPr>
          <w:w w:val="101.99453690472771"/>
          <w:rFonts w:ascii="TimesNewRomanPS" w:hAnsi="TimesNewRomanPS" w:eastAsia="TimesNewRomanPS"/>
          <w:b w:val="0"/>
          <w:i/>
          <w:color w:val="000000"/>
          <w:sz w:val="17"/>
        </w:rPr>
        <w:t>provided, however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, that either Party may assign its rights under this Agreement to a successor in interest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resulting from any merger, reorganization, consolidation or as part of a sale of all or substantially all of its assets. Subject to the foregoing,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this Agreement shall bind and inure to the benefit of the successors and assigns of the Parties hereto.</w:t>
      </w:r>
    </w:p>
    <w:p>
      <w:pPr>
        <w:autoSpaceDN w:val="0"/>
        <w:autoSpaceDE w:val="0"/>
        <w:widowControl/>
        <w:spacing w:line="174" w:lineRule="exact" w:before="196" w:after="0"/>
        <w:ind w:left="6" w:right="0" w:firstLine="0"/>
        <w:jc w:val="left"/>
      </w:pPr>
      <w:r>
        <w:rPr>
          <w:w w:val="101.99453690472771"/>
          <w:rFonts w:ascii="TimesNewRomanPS" w:hAnsi="TimesNewRomanPS" w:eastAsia="TimesNewRomanPS"/>
          <w:b/>
          <w:i w:val="0"/>
          <w:color w:val="000000"/>
          <w:sz w:val="17"/>
        </w:rPr>
        <w:t>9.</w:t>
      </w:r>
      <w:r>
        <w:rPr>
          <w:w w:val="101.99453690472771"/>
          <w:rFonts w:ascii="TimesNewRomanPS" w:hAnsi="TimesNewRomanPS" w:eastAsia="TimesNewRomanPS"/>
          <w:b/>
          <w:i w:val="0"/>
          <w:color w:val="000000"/>
          <w:sz w:val="17"/>
        </w:rPr>
        <w:t>Representations and Warranties</w:t>
      </w:r>
    </w:p>
    <w:p>
      <w:pPr>
        <w:autoSpaceDN w:val="0"/>
        <w:tabs>
          <w:tab w:pos="1048" w:val="left"/>
        </w:tabs>
        <w:autoSpaceDE w:val="0"/>
        <w:widowControl/>
        <w:spacing w:line="206" w:lineRule="exact" w:before="172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9.1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Each Party to this Agreement represents and warrants to the other that it is an entity duly organized, validly existing and in good standing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under the laws of the state of its organization and has all requisite corporate power and corporate authority to enter into this Agreement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and to carry out the terms and provisions hereof.</w:t>
      </w:r>
    </w:p>
    <w:p>
      <w:pPr>
        <w:autoSpaceDN w:val="0"/>
        <w:autoSpaceDE w:val="0"/>
        <w:widowControl/>
        <w:spacing w:line="142" w:lineRule="exact" w:before="36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11</w:t>
      </w:r>
    </w:p>
    <w:p>
      <w:pPr>
        <w:autoSpaceDN w:val="0"/>
        <w:autoSpaceDE w:val="0"/>
        <w:widowControl/>
        <w:spacing w:line="240" w:lineRule="auto" w:before="7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90" w:right="96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4"/>
        <w:ind w:left="0" w:right="0"/>
      </w:pPr>
    </w:p>
    <w:p>
      <w:pPr>
        <w:autoSpaceDN w:val="0"/>
        <w:tabs>
          <w:tab w:pos="1048" w:val="left"/>
        </w:tabs>
        <w:autoSpaceDE w:val="0"/>
        <w:widowControl/>
        <w:spacing w:line="198" w:lineRule="exact" w:before="0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9.2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MPL shall take reasonable steps to obtain all necessary approvals, and authorizations of all Governmental Authorities to modify and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operate the Pipeline, including approval by FERC of the rate structure and any premium service, and all other approvals and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authorizations necessary, in MPL’s sole opinion, desirable in connection with the provision of Product transportation, in each case, in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form and substance acceptable to MPL in its sole discretion.</w:t>
      </w:r>
    </w:p>
    <w:p>
      <w:pPr>
        <w:autoSpaceDN w:val="0"/>
        <w:tabs>
          <w:tab w:pos="1048" w:val="left"/>
        </w:tabs>
        <w:autoSpaceDE w:val="0"/>
        <w:widowControl/>
        <w:spacing w:line="206" w:lineRule="exact" w:before="162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9.3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Shipper hereby agrees (a) to take all such actions and do all such things as MPL reasonably requests in connections with its application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for, and the processing of necessary approvals and authorizations of the FERC and other governmental authorities, (b) at all times to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support the rate and (c) to not, directly or indirectly, take any action that is designed to or may delay review or approval of the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applications to FERC or any other Governmental Authority or indicate a lack of support for the modifications of the Pipeline or the rate.</w:t>
      </w:r>
    </w:p>
    <w:p>
      <w:pPr>
        <w:autoSpaceDN w:val="0"/>
        <w:autoSpaceDE w:val="0"/>
        <w:widowControl/>
        <w:spacing w:line="172" w:lineRule="exact" w:before="196" w:after="0"/>
        <w:ind w:left="6" w:right="0" w:firstLine="0"/>
        <w:jc w:val="left"/>
      </w:pPr>
      <w:r>
        <w:rPr>
          <w:w w:val="101.99453690472771"/>
          <w:rFonts w:ascii="TimesNewRomanPS" w:hAnsi="TimesNewRomanPS" w:eastAsia="TimesNewRomanPS"/>
          <w:b/>
          <w:i w:val="0"/>
          <w:color w:val="000000"/>
          <w:sz w:val="17"/>
        </w:rPr>
        <w:t>10.</w:t>
      </w:r>
      <w:r>
        <w:rPr>
          <w:w w:val="101.99453690472771"/>
          <w:rFonts w:ascii="TimesNewRomanPS" w:hAnsi="TimesNewRomanPS" w:eastAsia="TimesNewRomanPS"/>
          <w:b/>
          <w:i w:val="0"/>
          <w:color w:val="000000"/>
          <w:sz w:val="17"/>
        </w:rPr>
        <w:t>Termination and Amendment</w:t>
      </w:r>
    </w:p>
    <w:p>
      <w:pPr>
        <w:autoSpaceDN w:val="0"/>
        <w:tabs>
          <w:tab w:pos="1048" w:val="left"/>
        </w:tabs>
        <w:autoSpaceDE w:val="0"/>
        <w:widowControl/>
        <w:spacing w:line="206" w:lineRule="exact" w:before="174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10.1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This Agreement may not be terminated, except as expressly provided herein, nor may any of its provisions be amended or waived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without prior written consent of both Parties hereto.</w:t>
      </w:r>
    </w:p>
    <w:p>
      <w:pPr>
        <w:autoSpaceDN w:val="0"/>
        <w:tabs>
          <w:tab w:pos="1048" w:val="left"/>
        </w:tabs>
        <w:autoSpaceDE w:val="0"/>
        <w:widowControl/>
        <w:spacing w:line="206" w:lineRule="exact" w:before="162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10.2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Neither failure nor delay by MPL or Shipper to exercise any right or remedy provided herein shall operate as a waiver with respect to a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future exercise thereof, nor shall any single or partial exercise of any such right or remedy preclude any other or further exercise thereof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or the exercise of any other right or remedy.</w:t>
      </w:r>
    </w:p>
    <w:p>
      <w:pPr>
        <w:autoSpaceDN w:val="0"/>
        <w:tabs>
          <w:tab w:pos="1048" w:val="left"/>
        </w:tabs>
        <w:autoSpaceDE w:val="0"/>
        <w:widowControl/>
        <w:spacing w:line="206" w:lineRule="exact" w:before="162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10.3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Except as otherwise provided in Section 10.5, in the event of any breach of a term or condition of this Agreement by either Party, the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other Party’s remedy shall be limited to the direct damages caused thereby and in no event shall a Party be liable to the other Party for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any consequential, indirect, pecuniary, punitive, or economic damages, howsoever caused.</w:t>
      </w:r>
    </w:p>
    <w:p>
      <w:pPr>
        <w:autoSpaceDN w:val="0"/>
        <w:tabs>
          <w:tab w:pos="1048" w:val="left"/>
        </w:tabs>
        <w:autoSpaceDE w:val="0"/>
        <w:widowControl/>
        <w:spacing w:line="206" w:lineRule="exact" w:before="162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10.4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Upon termination of this Agreement for reasons other than a default by Shipper, pursuant to any provisions of this Agreement or any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other termination of this Agreement initiated by Shipper pursuant to Section 5, Shipper shall have the right to require MPL to enter into a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new transportation service agreement with Shipper that (a) is consistent with the terms and objectives set forth in this Agreement and (b)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has commercial terms that are, in the aggregate, equal to or more favorable to Shipper than fair market value terms as would be agreed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by similarly-situated parties negotiating at arm’s length provided.</w:t>
      </w:r>
    </w:p>
    <w:p>
      <w:pPr>
        <w:autoSpaceDN w:val="0"/>
        <w:tabs>
          <w:tab w:pos="1048" w:val="left"/>
        </w:tabs>
        <w:autoSpaceDE w:val="0"/>
        <w:widowControl/>
        <w:spacing w:line="206" w:lineRule="exact" w:before="162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10.5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Shipper acknowledges that MPL will incur certain building, expansion and improvement costs associated with its performance under this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Agreement prior to the commencement of transportation service on the Pipeline. Shipper also acknowledges that MPL relied on the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volume commitments received from Shipper on its Capacity Request Form in Exhibit C as part of an aggregate volume commitment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received from all committed shippers during the binding open season to finalize the Project’s ultimate scope, including but not limited to,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pipe size, routing and destinations. If MPL is in compliance with the terms and conditions of this Agreement, and Shipper decides to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terminate this Agreement after the Effective Date but prior to the commencement of transportation service on the Pipeline, Shipper shall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notify MPL of its decision to terminate within one hundred and eighty (180) days of the Project’s in-service date to allow MPL the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opportunity to provide Shipper’s unwanted capacity to other interested shippers as Unsubscribed Capacity as set forth in Section 3.8. If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Shipper fails to notify MPL within one hundred and eighty (180) days of the Project’s in-service date or if MPL is unsuccessful in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obtaining additional volume commitments as provided for in Section 3.8 to</w:t>
      </w:r>
    </w:p>
    <w:p>
      <w:pPr>
        <w:autoSpaceDN w:val="0"/>
        <w:autoSpaceDE w:val="0"/>
        <w:widowControl/>
        <w:spacing w:line="140" w:lineRule="exact" w:before="19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12</w:t>
      </w:r>
    </w:p>
    <w:p>
      <w:pPr>
        <w:autoSpaceDN w:val="0"/>
        <w:autoSpaceDE w:val="0"/>
        <w:widowControl/>
        <w:spacing w:line="240" w:lineRule="auto" w:before="6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84" w:right="96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p>
      <w:pPr>
        <w:autoSpaceDN w:val="0"/>
        <w:autoSpaceDE w:val="0"/>
        <w:widowControl/>
        <w:spacing w:line="162" w:lineRule="exact" w:before="12" w:after="0"/>
        <w:ind w:left="6" w:right="26" w:firstLine="0"/>
        <w:jc w:val="both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fully replace Shipper’s original volume commitment as submitted in its Capacity Request Form in Exhibit C, Shipper will reimburse MPL for Shipper’s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pro rata portion of actual and committed Construction Costs, </w:t>
      </w:r>
      <w:r>
        <w:rPr>
          <w:w w:val="101.99453690472771"/>
          <w:rFonts w:ascii="TimesNewRomanPS" w:hAnsi="TimesNewRomanPS" w:eastAsia="TimesNewRomanPS"/>
          <w:b w:val="0"/>
          <w:i/>
          <w:color w:val="000000"/>
          <w:sz w:val="17"/>
        </w:rPr>
        <w:t>plus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, an administrative fee of ten (10) percent of said costs (such reimbursement is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hereinafter referred to as the “Construction Cost Reimbursement”). The Parties agree that the Construction Cost Reimbursement shall be deemed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liquidated damages and that such amount shall not be deemed a penalty, but rather represents a reasonable amount of liquidated damages in light of the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anticipated or actual harm caused by Shipper’s termination of this Agreement as stated, the difficulties of proof of loss, and the inconvenience or non-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feasibility of otherwise obtaining an adequate remedy, and that the payment of such amount shall be MPL’s sole and exclusive remedy for such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termination by Shipper.</w:t>
      </w:r>
    </w:p>
    <w:p>
      <w:pPr>
        <w:autoSpaceDN w:val="0"/>
        <w:tabs>
          <w:tab w:pos="1048" w:val="left"/>
        </w:tabs>
        <w:autoSpaceDE w:val="0"/>
        <w:widowControl/>
        <w:spacing w:line="206" w:lineRule="exact" w:before="142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10.6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The Parties acknowledge and agree that this Agreement may be contingent on the Shipper executing a reasonably acceptable commodity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supply agreement. Shipper must notify MPL if it is unable to execute a reasonably acceptable commodity supply agreement within one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hundred and eighty (180) days of the Project in-service date. Furthermore, Shipper must make commercially reasonable efforts to enter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into a commodity supply agreement within the one hundred and eighty (180) days. Provided, however, that Shipper acknowledges and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agrees that Shipper remains responsible for the Construction Cost Reimbursement provided for in Section 10.5 of this Agreement if it is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unable to reach and execute a commodity supply agreement within the required timeframe.</w:t>
      </w:r>
    </w:p>
    <w:p>
      <w:pPr>
        <w:autoSpaceDN w:val="0"/>
        <w:autoSpaceDE w:val="0"/>
        <w:widowControl/>
        <w:spacing w:line="174" w:lineRule="exact" w:before="34" w:after="0"/>
        <w:ind w:left="6" w:right="0" w:firstLine="0"/>
        <w:jc w:val="left"/>
      </w:pPr>
      <w:r>
        <w:rPr>
          <w:w w:val="101.99453690472771"/>
          <w:rFonts w:ascii="TimesNewRomanPS" w:hAnsi="TimesNewRomanPS" w:eastAsia="TimesNewRomanPS"/>
          <w:b/>
          <w:i w:val="0"/>
          <w:color w:val="000000"/>
          <w:sz w:val="17"/>
        </w:rPr>
        <w:t>11.</w:t>
      </w:r>
      <w:r>
        <w:rPr>
          <w:w w:val="101.99453690472771"/>
          <w:rFonts w:ascii="TimesNewRomanPS" w:hAnsi="TimesNewRomanPS" w:eastAsia="TimesNewRomanPS"/>
          <w:b/>
          <w:i w:val="0"/>
          <w:color w:val="000000"/>
          <w:sz w:val="17"/>
        </w:rPr>
        <w:t>Conditions Precedent</w:t>
      </w:r>
    </w:p>
    <w:p>
      <w:pPr>
        <w:autoSpaceDN w:val="0"/>
        <w:autoSpaceDE w:val="0"/>
        <w:widowControl/>
        <w:spacing w:line="172" w:lineRule="exact" w:before="216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Notwithstanding anything in this Agreement to the contrary, this Agreement is subject to the receipt by MPL of:</w:t>
      </w:r>
    </w:p>
    <w:p>
      <w:pPr>
        <w:autoSpaceDN w:val="0"/>
        <w:tabs>
          <w:tab w:pos="1048" w:val="left"/>
        </w:tabs>
        <w:autoSpaceDE w:val="0"/>
        <w:widowControl/>
        <w:spacing w:line="206" w:lineRule="exact" w:before="174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11.1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All certificates, approvals and authorizations of any Governmental Authority deemed necessary or desirable by MPL in connection with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this Agreement and, in each case, in form and substance acceptable to MPL in its sole discretion.</w:t>
      </w:r>
    </w:p>
    <w:p>
      <w:pPr>
        <w:autoSpaceDN w:val="0"/>
        <w:tabs>
          <w:tab w:pos="1048" w:val="left"/>
        </w:tabs>
        <w:autoSpaceDE w:val="0"/>
        <w:widowControl/>
        <w:spacing w:line="206" w:lineRule="exact" w:before="174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11.2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Executed Transportation Service Agreements, in form and substance acceptable to MPL in its sole discretion, as MPL shall deem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sufficient in its sole discretion to support the economic viability of the costs associated with the Project.</w:t>
      </w:r>
    </w:p>
    <w:p>
      <w:pPr>
        <w:autoSpaceDN w:val="0"/>
        <w:autoSpaceDE w:val="0"/>
        <w:widowControl/>
        <w:spacing w:line="172" w:lineRule="exact" w:before="206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11.3 Executed Transportation Service Agreements, in form and substance acceptable to both MPL and Shipper.</w:t>
      </w:r>
    </w:p>
    <w:p>
      <w:pPr>
        <w:autoSpaceDN w:val="0"/>
        <w:autoSpaceDE w:val="0"/>
        <w:widowControl/>
        <w:spacing w:line="206" w:lineRule="exact" w:before="174" w:after="0"/>
        <w:ind w:left="6" w:right="26" w:firstLine="0"/>
        <w:jc w:val="both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If any terms of this Agreement are required to be modified in accordance with a decision, approval or authorization from FERC or any other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governmental authority, the Parties agree to reasonably cooperate with one another in amending this Agreement to align with those decisions, approvals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and authorizations from FERC or any other governmental agencies. If these conditions precedent are not satisfied for MPL after exercising commercially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reasonable efforts to meet such condition precedent, MPL shall have the right to terminate this Agreement by written notice to Shipper. If this Agreement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is terminated pursuant to this Section 11, MPL and Shipper shall be released from any and all obligations under this Agreement.</w:t>
      </w:r>
    </w:p>
    <w:p>
      <w:pPr>
        <w:autoSpaceDN w:val="0"/>
        <w:autoSpaceDE w:val="0"/>
        <w:widowControl/>
        <w:spacing w:line="174" w:lineRule="exact" w:before="206" w:after="0"/>
        <w:ind w:left="6" w:right="0" w:firstLine="0"/>
        <w:jc w:val="left"/>
      </w:pPr>
      <w:r>
        <w:rPr>
          <w:w w:val="101.99453690472771"/>
          <w:rFonts w:ascii="TimesNewRomanPS" w:hAnsi="TimesNewRomanPS" w:eastAsia="TimesNewRomanPS"/>
          <w:b/>
          <w:i w:val="0"/>
          <w:color w:val="000000"/>
          <w:sz w:val="17"/>
        </w:rPr>
        <w:t>12.</w:t>
      </w:r>
      <w:r>
        <w:rPr>
          <w:w w:val="101.99453690472771"/>
          <w:rFonts w:ascii="TimesNewRomanPS" w:hAnsi="TimesNewRomanPS" w:eastAsia="TimesNewRomanPS"/>
          <w:b/>
          <w:i w:val="0"/>
          <w:color w:val="000000"/>
          <w:sz w:val="17"/>
        </w:rPr>
        <w:t>Offer</w:t>
      </w:r>
    </w:p>
    <w:p>
      <w:pPr>
        <w:autoSpaceDN w:val="0"/>
        <w:tabs>
          <w:tab w:pos="1048" w:val="left"/>
        </w:tabs>
        <w:autoSpaceDE w:val="0"/>
        <w:widowControl/>
        <w:spacing w:line="172" w:lineRule="exact" w:before="216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12.1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The submission of an unexecuted copy of this Agreement by MPL to Shipper shall not constitute an offer.</w:t>
      </w:r>
    </w:p>
    <w:p>
      <w:pPr>
        <w:autoSpaceDN w:val="0"/>
        <w:autoSpaceDE w:val="0"/>
        <w:widowControl/>
        <w:spacing w:line="142" w:lineRule="exact" w:before="37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13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78" w:right="96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0"/>
        <w:ind w:left="0" w:right="0"/>
      </w:pPr>
    </w:p>
    <w:p>
      <w:pPr>
        <w:autoSpaceDN w:val="0"/>
        <w:tabs>
          <w:tab w:pos="1048" w:val="left"/>
        </w:tabs>
        <w:autoSpaceDE w:val="0"/>
        <w:widowControl/>
        <w:spacing w:line="202" w:lineRule="exact" w:before="0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12.2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Shipper acknowledges that, upon closing of the open season described in the notice of open season, MPL will undertake significant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alterations and improvements and will incur significant expense in connection with the Project. In consideration of the foregoing and other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good and valuable consideration, the receipt and sufficiency of which are hereby acknowledged by Shipper, Shipper agrees that the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submission of an executed Agreement to MPL shall constitute an offer by Shipper. Shipper further agrees that its offer shall remain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irrevocable; provided, however, that if Shipper has not received an executed copy of this Agreement from MPL within sixty (60) days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after the close of the Binding Open Season, Shipper may revoke its offer thereafter by written notice to MPL, and upon such revocation,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this Agreement will become null and void.</w:t>
      </w:r>
    </w:p>
    <w:p>
      <w:pPr>
        <w:autoSpaceDN w:val="0"/>
        <w:autoSpaceDE w:val="0"/>
        <w:widowControl/>
        <w:spacing w:line="174" w:lineRule="exact" w:before="206" w:after="0"/>
        <w:ind w:left="6" w:right="0" w:firstLine="0"/>
        <w:jc w:val="left"/>
      </w:pPr>
      <w:r>
        <w:rPr>
          <w:w w:val="101.99453690472771"/>
          <w:rFonts w:ascii="TimesNewRomanPS" w:hAnsi="TimesNewRomanPS" w:eastAsia="TimesNewRomanPS"/>
          <w:b/>
          <w:i w:val="0"/>
          <w:color w:val="000000"/>
          <w:sz w:val="17"/>
        </w:rPr>
        <w:t>13.</w:t>
      </w:r>
      <w:r>
        <w:rPr>
          <w:w w:val="101.99453690472771"/>
          <w:rFonts w:ascii="TimesNewRomanPS" w:hAnsi="TimesNewRomanPS" w:eastAsia="TimesNewRomanPS"/>
          <w:b/>
          <w:i w:val="0"/>
          <w:color w:val="000000"/>
          <w:sz w:val="17"/>
        </w:rPr>
        <w:t>Notices</w:t>
      </w:r>
    </w:p>
    <w:p>
      <w:pPr>
        <w:autoSpaceDN w:val="0"/>
        <w:tabs>
          <w:tab w:pos="1048" w:val="left"/>
        </w:tabs>
        <w:autoSpaceDE w:val="0"/>
        <w:widowControl/>
        <w:spacing w:line="206" w:lineRule="exact" w:before="172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13.1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Any notice, statement, or invoice provided for in this Agreement shall be in writing and shall be considered as having been given if hand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carried, facsimiled, emailed, or if mailed by United States mail, postage prepaid, to the following address, respectively:</w:t>
      </w:r>
    </w:p>
    <w:p>
      <w:pPr>
        <w:autoSpaceDN w:val="0"/>
        <w:tabs>
          <w:tab w:pos="5480" w:val="left"/>
        </w:tabs>
        <w:autoSpaceDE w:val="0"/>
        <w:widowControl/>
        <w:spacing w:line="260" w:lineRule="exact" w:before="240" w:after="0"/>
        <w:ind w:left="4384" w:right="216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Shipper : </w:t>
      </w:r>
      <w:r>
        <w:br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Name: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  <w:u w:val="single"/>
        </w:rPr>
        <w:t xml:space="preserve">Marathon Petroleum Company LP </w:t>
      </w:r>
      <w:r>
        <w:br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Address: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  <w:u w:val="single"/>
        </w:rPr>
        <w:t xml:space="preserve">539 South Main Street </w:t>
      </w:r>
      <w:r>
        <w:br/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  <w:u w:val="single"/>
        </w:rPr>
        <w:t xml:space="preserve">Findlay, OH 45840 </w:t>
      </w:r>
      <w:r>
        <w:br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Attention: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  <w:u w:val="single"/>
        </w:rPr>
        <w:t xml:space="preserve">Optimization LP Manager </w:t>
      </w:r>
      <w:r>
        <w:br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Fax: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  <w:u w:val="single"/>
        </w:rPr>
        <w:t>(419) 421-4232</w:t>
      </w:r>
    </w:p>
    <w:p>
      <w:pPr>
        <w:autoSpaceDN w:val="0"/>
        <w:tabs>
          <w:tab w:pos="5480" w:val="left"/>
        </w:tabs>
        <w:autoSpaceDE w:val="0"/>
        <w:widowControl/>
        <w:spacing w:line="260" w:lineRule="exact" w:before="260" w:after="0"/>
        <w:ind w:left="4384" w:right="288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MPL : </w:t>
      </w:r>
      <w:r>
        <w:br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Name: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Craig O. Pierson </w:t>
      </w:r>
      <w:r>
        <w:br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Address: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539 South Main Street </w:t>
      </w:r>
      <w:r>
        <w:br/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Findlay, OH 45840 </w:t>
      </w:r>
      <w:r>
        <w:br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Attention: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President </w:t>
      </w:r>
      <w:r>
        <w:br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Fax: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(419) 421-3125</w:t>
      </w:r>
    </w:p>
    <w:p>
      <w:pPr>
        <w:autoSpaceDN w:val="0"/>
        <w:autoSpaceDE w:val="0"/>
        <w:widowControl/>
        <w:spacing w:line="174" w:lineRule="exact" w:before="390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or to such other address as such Party may indicate by a notice delivered in accordance with this Section 13.</w:t>
      </w:r>
    </w:p>
    <w:p>
      <w:pPr>
        <w:autoSpaceDN w:val="0"/>
        <w:autoSpaceDE w:val="0"/>
        <w:widowControl/>
        <w:spacing w:line="172" w:lineRule="exact" w:before="196" w:after="0"/>
        <w:ind w:left="6" w:right="0" w:firstLine="0"/>
        <w:jc w:val="left"/>
      </w:pPr>
      <w:r>
        <w:rPr>
          <w:w w:val="101.99453690472771"/>
          <w:rFonts w:ascii="TimesNewRomanPS" w:hAnsi="TimesNewRomanPS" w:eastAsia="TimesNewRomanPS"/>
          <w:b/>
          <w:i w:val="0"/>
          <w:color w:val="000000"/>
          <w:sz w:val="17"/>
        </w:rPr>
        <w:t>14.</w:t>
      </w:r>
      <w:r>
        <w:rPr>
          <w:w w:val="101.99453690472771"/>
          <w:rFonts w:ascii="TimesNewRomanPS" w:hAnsi="TimesNewRomanPS" w:eastAsia="TimesNewRomanPS"/>
          <w:b/>
          <w:i w:val="0"/>
          <w:color w:val="000000"/>
          <w:sz w:val="17"/>
        </w:rPr>
        <w:t>Governing Law</w:t>
      </w:r>
    </w:p>
    <w:p>
      <w:pPr>
        <w:autoSpaceDN w:val="0"/>
        <w:autoSpaceDE w:val="0"/>
        <w:widowControl/>
        <w:spacing w:line="206" w:lineRule="exact" w:before="174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This Agreement shall be construed and interpreted in accordance with the laws of the State of Ohio, without recourse to any principles of law governing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conflicts of law, which might otherwise be applicable.</w:t>
      </w:r>
    </w:p>
    <w:p>
      <w:pPr>
        <w:autoSpaceDN w:val="0"/>
        <w:autoSpaceDE w:val="0"/>
        <w:widowControl/>
        <w:spacing w:line="172" w:lineRule="exact" w:before="196" w:after="0"/>
        <w:ind w:left="6" w:right="0" w:firstLine="0"/>
        <w:jc w:val="left"/>
      </w:pPr>
      <w:r>
        <w:rPr>
          <w:w w:val="101.99453690472771"/>
          <w:rFonts w:ascii="TimesNewRomanPS" w:hAnsi="TimesNewRomanPS" w:eastAsia="TimesNewRomanPS"/>
          <w:b/>
          <w:i w:val="0"/>
          <w:color w:val="000000"/>
          <w:sz w:val="17"/>
        </w:rPr>
        <w:t>15.</w:t>
      </w:r>
      <w:r>
        <w:rPr>
          <w:w w:val="101.99453690472771"/>
          <w:rFonts w:ascii="TimesNewRomanPS" w:hAnsi="TimesNewRomanPS" w:eastAsia="TimesNewRomanPS"/>
          <w:b/>
          <w:i w:val="0"/>
          <w:color w:val="000000"/>
          <w:sz w:val="17"/>
        </w:rPr>
        <w:t>Severability</w:t>
      </w:r>
    </w:p>
    <w:p>
      <w:pPr>
        <w:autoSpaceDN w:val="0"/>
        <w:autoSpaceDE w:val="0"/>
        <w:widowControl/>
        <w:spacing w:line="204" w:lineRule="exact" w:before="176" w:after="0"/>
        <w:ind w:left="6" w:right="26" w:firstLine="0"/>
        <w:jc w:val="both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In the event any provision of this Agreement is held to be invalid, illegal or unenforceable in any respect by a court of competent jurisdiction, or by an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empowered government agency, such findings shall not affect the remaining provisions of this Agreement, which are not found to be invalid, illegal or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unenforceable, unless such construction would be unreasonable.</w:t>
      </w:r>
    </w:p>
    <w:p>
      <w:pPr>
        <w:autoSpaceDN w:val="0"/>
        <w:autoSpaceDE w:val="0"/>
        <w:widowControl/>
        <w:spacing w:line="140" w:lineRule="exact" w:before="20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14</w:t>
      </w:r>
    </w:p>
    <w:p>
      <w:pPr>
        <w:autoSpaceDN w:val="0"/>
        <w:autoSpaceDE w:val="0"/>
        <w:widowControl/>
        <w:spacing w:line="240" w:lineRule="auto" w:before="7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90" w:right="96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174" w:lineRule="exact" w:before="0" w:after="0"/>
        <w:ind w:left="6" w:right="0" w:firstLine="0"/>
        <w:jc w:val="left"/>
      </w:pPr>
      <w:r>
        <w:rPr>
          <w:w w:val="101.99453690472771"/>
          <w:rFonts w:ascii="TimesNewRomanPS" w:hAnsi="TimesNewRomanPS" w:eastAsia="TimesNewRomanPS"/>
          <w:b/>
          <w:i w:val="0"/>
          <w:color w:val="000000"/>
          <w:sz w:val="17"/>
        </w:rPr>
        <w:t>16.</w:t>
      </w:r>
      <w:r>
        <w:rPr>
          <w:w w:val="101.99453690472771"/>
          <w:rFonts w:ascii="TimesNewRomanPS" w:hAnsi="TimesNewRomanPS" w:eastAsia="TimesNewRomanPS"/>
          <w:b/>
          <w:i w:val="0"/>
          <w:color w:val="000000"/>
          <w:sz w:val="17"/>
        </w:rPr>
        <w:t>Default</w:t>
      </w:r>
    </w:p>
    <w:p>
      <w:pPr>
        <w:autoSpaceDN w:val="0"/>
        <w:tabs>
          <w:tab w:pos="1048" w:val="left"/>
        </w:tabs>
        <w:autoSpaceDE w:val="0"/>
        <w:widowControl/>
        <w:spacing w:line="206" w:lineRule="exact" w:before="172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16.1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Either Party hereunder shall be in default if such Party: (a) materially breaches any provision of this Agreement and such breach is not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cured within fifteen (15) Days after notice thereof (which notice shall describe such breach in reasonable detail) is received by such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Party; (b) becomes insolvent, enters voluntary or involuntary bankruptcy or makes an assignment for the benefit of creditors; (c) fails to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pay any undisputed sums due hereunder; or (d) fails to provide satisfactory financial assurance as provided for in Section 17.</w:t>
      </w:r>
    </w:p>
    <w:p>
      <w:pPr>
        <w:autoSpaceDN w:val="0"/>
        <w:tabs>
          <w:tab w:pos="1048" w:val="left"/>
        </w:tabs>
        <w:autoSpaceDE w:val="0"/>
        <w:widowControl/>
        <w:spacing w:line="206" w:lineRule="exact" w:before="162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16.2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If either Party is in default as described above, then the non-defaulting Party may: (a) terminate this Agreement upon notice to the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defaulting Party; (b) withhold any payments due to the defaulting Party under this Agreement; and/or (c) pursue any other remedy at law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or in equity if such breach is not remedied as provided for in Section 14.1.</w:t>
      </w:r>
    </w:p>
    <w:p>
      <w:pPr>
        <w:autoSpaceDN w:val="0"/>
        <w:tabs>
          <w:tab w:pos="526" w:val="left"/>
        </w:tabs>
        <w:autoSpaceDE w:val="0"/>
        <w:widowControl/>
        <w:spacing w:line="172" w:lineRule="exact" w:before="196" w:after="0"/>
        <w:ind w:left="6" w:right="0" w:firstLine="0"/>
        <w:jc w:val="left"/>
      </w:pPr>
      <w:r>
        <w:rPr>
          <w:w w:val="101.99453690472771"/>
          <w:rFonts w:ascii="TimesNewRomanPS" w:hAnsi="TimesNewRomanPS" w:eastAsia="TimesNewRomanPS"/>
          <w:b/>
          <w:i w:val="0"/>
          <w:color w:val="000000"/>
          <w:sz w:val="17"/>
        </w:rPr>
        <w:t xml:space="preserve">17. </w:t>
      </w:r>
      <w:r>
        <w:tab/>
      </w:r>
      <w:r>
        <w:rPr>
          <w:w w:val="101.99453690472771"/>
          <w:rFonts w:ascii="TimesNewRomanPS" w:hAnsi="TimesNewRomanPS" w:eastAsia="TimesNewRomanPS"/>
          <w:b/>
          <w:i w:val="0"/>
          <w:color w:val="000000"/>
          <w:sz w:val="17"/>
        </w:rPr>
        <w:t>Credit Requirements and Financial Assurances</w:t>
      </w:r>
    </w:p>
    <w:p>
      <w:pPr>
        <w:autoSpaceDN w:val="0"/>
        <w:tabs>
          <w:tab w:pos="1048" w:val="left"/>
        </w:tabs>
        <w:autoSpaceDE w:val="0"/>
        <w:widowControl/>
        <w:spacing w:line="208" w:lineRule="exact" w:before="160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17.1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Financial Information. Shipper shall provide to MPL, at any time: (i) upon MPL’s request, information (“Financial Information”) that will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allow MPL to assess (or reassess) and establish creditworthiness and Shipper’s capacity to perform any financial obligations that could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arise from the transportation of Shipper’s Crude Petroleum on the Pipeline; and (ii) upon MPL’s good faith determination (which shall be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no less than industry standards) of non-creditworthiness, MPL may request, financial assurance in respect of transportation or other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services (“Financial Assurances”). Financial Assurances shall be limited to a guarantee from the parent company of Shipper in a form and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substance acceptable to MPL and sufficient in amount to cover 6-months of Shipper’s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obligations to MPL so long as the guarantor has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sufficient creditworthiness as set forth in this Section; and if not, MPL may then request an irrevocable standby letter of credit in a form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and from an issuer acceptable to MPL, and in an amount no greater than 6-months of tolls based on the Quarterly Volume Commitment,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plus all applicable taxes.</w:t>
      </w:r>
    </w:p>
    <w:p>
      <w:pPr>
        <w:autoSpaceDN w:val="0"/>
        <w:tabs>
          <w:tab w:pos="1048" w:val="left"/>
        </w:tabs>
        <w:autoSpaceDE w:val="0"/>
        <w:widowControl/>
        <w:spacing w:line="206" w:lineRule="exact" w:before="164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17.2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As of the Project’s in-service date, Shipper shall comply with the credit requirements and provide the financial assurances required in the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Tariff so long as the Tariff is consistent with the terms of this Agreement.</w:t>
      </w:r>
    </w:p>
    <w:p>
      <w:pPr>
        <w:autoSpaceDN w:val="0"/>
        <w:tabs>
          <w:tab w:pos="1048" w:val="left"/>
        </w:tabs>
        <w:autoSpaceDE w:val="0"/>
        <w:widowControl/>
        <w:spacing w:line="204" w:lineRule="exact" w:before="0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17.3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Any failure of Shipper to comply with the provisions of this Section 17 will constitute an Event of Default under Section 16 of this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Agreement.</w:t>
      </w:r>
    </w:p>
    <w:p>
      <w:pPr>
        <w:autoSpaceDN w:val="0"/>
        <w:tabs>
          <w:tab w:pos="526" w:val="left"/>
        </w:tabs>
        <w:autoSpaceDE w:val="0"/>
        <w:widowControl/>
        <w:spacing w:line="174" w:lineRule="exact" w:before="196" w:after="0"/>
        <w:ind w:left="6" w:right="0" w:firstLine="0"/>
        <w:jc w:val="left"/>
      </w:pPr>
      <w:r>
        <w:rPr>
          <w:w w:val="101.99453690472771"/>
          <w:rFonts w:ascii="TimesNewRomanPS" w:hAnsi="TimesNewRomanPS" w:eastAsia="TimesNewRomanPS"/>
          <w:b/>
          <w:i w:val="0"/>
          <w:color w:val="000000"/>
          <w:sz w:val="17"/>
        </w:rPr>
        <w:t xml:space="preserve">18. </w:t>
      </w:r>
      <w:r>
        <w:tab/>
      </w:r>
      <w:r>
        <w:rPr>
          <w:w w:val="101.99453690472771"/>
          <w:rFonts w:ascii="TimesNewRomanPS" w:hAnsi="TimesNewRomanPS" w:eastAsia="TimesNewRomanPS"/>
          <w:b/>
          <w:i w:val="0"/>
          <w:color w:val="000000"/>
          <w:sz w:val="17"/>
        </w:rPr>
        <w:t>Miscellaneous</w:t>
      </w:r>
    </w:p>
    <w:p>
      <w:pPr>
        <w:autoSpaceDN w:val="0"/>
        <w:tabs>
          <w:tab w:pos="1048" w:val="left"/>
        </w:tabs>
        <w:autoSpaceDE w:val="0"/>
        <w:widowControl/>
        <w:spacing w:line="206" w:lineRule="exact" w:before="162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18.1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Wherever possible, each provision hereof shall be interpreted in such a manner as to be effective and valid under Applicable Law, but in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case any one or more of the provisions contained herein shall, for any reason, be held to be invalid, illegal or unenforceable in any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respect, such provision or provisions shall be ineffective to the extent, but only to the extent, of such invalidity, illegality or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unenforceability without invalidating the remainder of such provision or provisions or any other provisions hereof, unless such a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construction would be unreasonable.</w:t>
      </w:r>
    </w:p>
    <w:p>
      <w:pPr>
        <w:autoSpaceDN w:val="0"/>
        <w:tabs>
          <w:tab w:pos="1048" w:val="left"/>
        </w:tabs>
        <w:autoSpaceDE w:val="0"/>
        <w:widowControl/>
        <w:spacing w:line="206" w:lineRule="exact" w:before="162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18.2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This Agreement shall be binding upon and inure to the benefit of the Parties and their successors and permitted assigns; </w:t>
      </w:r>
      <w:r>
        <w:rPr>
          <w:w w:val="101.99453690472771"/>
          <w:rFonts w:ascii="TimesNewRomanPS" w:hAnsi="TimesNewRomanPS" w:eastAsia="TimesNewRomanPS"/>
          <w:b w:val="0"/>
          <w:i/>
          <w:color w:val="000000"/>
          <w:sz w:val="17"/>
        </w:rPr>
        <w:t xml:space="preserve">provided, </w:t>
      </w:r>
      <w:r>
        <w:tab/>
      </w:r>
      <w:r>
        <w:rPr>
          <w:w w:val="101.99453690472771"/>
          <w:rFonts w:ascii="TimesNewRomanPS" w:hAnsi="TimesNewRomanPS" w:eastAsia="TimesNewRomanPS"/>
          <w:b w:val="0"/>
          <w:i/>
          <w:color w:val="000000"/>
          <w:sz w:val="17"/>
        </w:rPr>
        <w:t>however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, that the rights and obligations of any Party under this Agreement shall not be assignable by such Party without the prior written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consent of the</w:t>
      </w:r>
    </w:p>
    <w:p>
      <w:pPr>
        <w:autoSpaceDN w:val="0"/>
        <w:autoSpaceDE w:val="0"/>
        <w:widowControl/>
        <w:spacing w:line="140" w:lineRule="exact" w:before="19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15</w:t>
      </w:r>
    </w:p>
    <w:p>
      <w:pPr>
        <w:autoSpaceDN w:val="0"/>
        <w:autoSpaceDE w:val="0"/>
        <w:widowControl/>
        <w:spacing w:line="240" w:lineRule="auto" w:before="5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66" w:right="96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p>
      <w:pPr>
        <w:autoSpaceDN w:val="0"/>
        <w:autoSpaceDE w:val="0"/>
        <w:widowControl/>
        <w:spacing w:line="162" w:lineRule="exact" w:before="12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other Party pursuant to Section 8.1. A Party’s successors and permitted assigns shall include any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permitted assignee as well as the successors in interest </w:t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to such permitted assignee whether by merger, liquidation (including successive mergers or liquidations) or otherwise.</w:t>
      </w:r>
    </w:p>
    <w:p>
      <w:pPr>
        <w:autoSpaceDN w:val="0"/>
        <w:tabs>
          <w:tab w:pos="1048" w:val="left"/>
        </w:tabs>
        <w:autoSpaceDE w:val="0"/>
        <w:widowControl/>
        <w:spacing w:line="206" w:lineRule="exact" w:before="140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18.3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No provision of this Agreement is intended to confer upon any third party any remedy, claim, liability, reimbursement or other right in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excess of those existing without reference to this Agreement.</w:t>
      </w:r>
    </w:p>
    <w:p>
      <w:pPr>
        <w:autoSpaceDN w:val="0"/>
        <w:tabs>
          <w:tab w:pos="1048" w:val="left"/>
        </w:tabs>
        <w:autoSpaceDE w:val="0"/>
        <w:widowControl/>
        <w:spacing w:line="206" w:lineRule="exact" w:before="162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18.4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Neither Party shall, without the approval of the other Party, make any press release or other public announcement concerning the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transactions contemplated by this Agreement, except as and to the extent that either Party shall be so obligated by Applicable Law or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the rules of any regulatory body, stock exchange or quotation system.</w:t>
      </w:r>
    </w:p>
    <w:p>
      <w:pPr>
        <w:autoSpaceDN w:val="0"/>
        <w:tabs>
          <w:tab w:pos="1048" w:val="left"/>
        </w:tabs>
        <w:autoSpaceDE w:val="0"/>
        <w:widowControl/>
        <w:spacing w:line="204" w:lineRule="exact" w:before="164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18.5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EACH PARTY WAIVES, TO THE FULLEST EXTENT PERMITTED BY APPLICABLE LAW, ANY RIGHT IT MAY HAVE TO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A TRIAL BY JURY IN RESPECT OF ANY PROCEEDINGS RELATING TO THIS AGREEMENT OR ANY PERFORMANCE </w:t>
      </w:r>
      <w:r>
        <w:tab/>
      </w: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OR FAILURE TO PERFORM OF ANY OBLIGATION HEREUNDER.</w:t>
      </w:r>
    </w:p>
    <w:p>
      <w:pPr>
        <w:autoSpaceDN w:val="0"/>
        <w:autoSpaceDE w:val="0"/>
        <w:widowControl/>
        <w:spacing w:line="142" w:lineRule="exact" w:before="13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16</w:t>
      </w:r>
    </w:p>
    <w:p>
      <w:pPr>
        <w:autoSpaceDN w:val="0"/>
        <w:autoSpaceDE w:val="0"/>
        <w:widowControl/>
        <w:spacing w:line="240" w:lineRule="auto" w:before="5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78" w:right="96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4"/>
        <w:ind w:left="0" w:right="0"/>
      </w:pPr>
    </w:p>
    <w:p>
      <w:pPr>
        <w:autoSpaceDN w:val="0"/>
        <w:autoSpaceDE w:val="0"/>
        <w:widowControl/>
        <w:spacing w:line="172" w:lineRule="exact" w:before="0" w:after="0"/>
        <w:ind w:left="6" w:right="0" w:firstLine="0"/>
        <w:jc w:val="lef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IN WITNESS WHEREOF, MPL and Shipper have caused this Agreement to be duly executed, all as of the date set forth above.</w:t>
      </w:r>
    </w:p>
    <w:p>
      <w:pPr>
        <w:autoSpaceDN w:val="0"/>
        <w:autoSpaceDE w:val="0"/>
        <w:widowControl/>
        <w:spacing w:line="172" w:lineRule="exact" w:before="164" w:after="44"/>
        <w:ind w:left="0" w:right="3104" w:firstLine="0"/>
        <w:jc w:val="righ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MARATHON PIPE LINE LLC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60.0" w:type="dxa"/>
      </w:tblPr>
      <w:tblGrid>
        <w:gridCol w:w="4980"/>
        <w:gridCol w:w="4980"/>
      </w:tblGrid>
      <w:tr>
        <w:trPr>
          <w:trHeight w:hRule="exact" w:val="256"/>
        </w:trPr>
        <w:tc>
          <w:tcPr>
            <w:tcW w:type="dxa" w:w="3162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44" w:after="0"/>
              <w:ind w:left="0" w:right="574" w:firstLine="0"/>
              <w:jc w:val="right"/>
            </w:pPr>
            <w:r>
              <w:rPr>
                <w:w w:val="101.99453690472771"/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>By:</w:t>
            </w:r>
          </w:p>
        </w:tc>
        <w:tc>
          <w:tcPr>
            <w:tcW w:type="dxa" w:w="432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7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/s/ Craig Pierson 6/11/15</w:t>
            </w:r>
          </w:p>
        </w:tc>
      </w:tr>
      <w:tr>
        <w:trPr>
          <w:trHeight w:hRule="exact" w:val="260"/>
        </w:trPr>
        <w:tc>
          <w:tcPr>
            <w:tcW w:type="dxa" w:w="3162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44" w:after="0"/>
              <w:ind w:left="0" w:right="356" w:firstLine="0"/>
              <w:jc w:val="right"/>
            </w:pPr>
            <w:r>
              <w:rPr>
                <w:w w:val="101.99453690472771"/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>Name:</w:t>
            </w:r>
          </w:p>
        </w:tc>
        <w:tc>
          <w:tcPr>
            <w:tcW w:type="dxa" w:w="4324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7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Craig Pierson</w:t>
            </w:r>
          </w:p>
        </w:tc>
      </w:tr>
      <w:tr>
        <w:trPr>
          <w:trHeight w:hRule="exact" w:val="260"/>
        </w:trPr>
        <w:tc>
          <w:tcPr>
            <w:tcW w:type="dxa" w:w="3162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42" w:after="0"/>
              <w:ind w:left="0" w:right="486" w:firstLine="0"/>
              <w:jc w:val="right"/>
            </w:pPr>
            <w:r>
              <w:rPr>
                <w:w w:val="101.99453690472771"/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>Title:</w:t>
            </w:r>
          </w:p>
        </w:tc>
        <w:tc>
          <w:tcPr>
            <w:tcW w:type="dxa" w:w="4324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President</w:t>
            </w:r>
          </w:p>
        </w:tc>
      </w:tr>
    </w:tbl>
    <w:p>
      <w:pPr>
        <w:autoSpaceDN w:val="0"/>
        <w:autoSpaceDE w:val="0"/>
        <w:widowControl/>
        <w:spacing w:line="174" w:lineRule="exact" w:before="318" w:after="44"/>
        <w:ind w:left="0" w:right="2118" w:firstLine="0"/>
        <w:jc w:val="right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MARATHON PETROLEUM COMPANY LP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60.0" w:type="dxa"/>
      </w:tblPr>
      <w:tblGrid>
        <w:gridCol w:w="4980"/>
        <w:gridCol w:w="4980"/>
      </w:tblGrid>
      <w:tr>
        <w:trPr>
          <w:trHeight w:hRule="exact" w:val="516"/>
        </w:trPr>
        <w:tc>
          <w:tcPr>
            <w:tcW w:type="dxa" w:w="316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2304" w:right="574" w:firstLine="0"/>
              <w:jc w:val="right"/>
            </w:pPr>
            <w:r>
              <w:rPr>
                <w:w w:val="101.99453690472771"/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 xml:space="preserve">By: </w:t>
            </w:r>
            <w:r>
              <w:br/>
            </w:r>
            <w:r>
              <w:rPr>
                <w:w w:val="101.99453690472771"/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>By:</w:t>
            </w:r>
          </w:p>
        </w:tc>
        <w:tc>
          <w:tcPr>
            <w:tcW w:type="dxa" w:w="4324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187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MPC Investment LLC, its General Partner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/s/ C. M. Palmer 4/13/15</w:t>
            </w:r>
          </w:p>
        </w:tc>
      </w:tr>
      <w:tr>
        <w:trPr>
          <w:trHeight w:hRule="exact" w:val="260"/>
        </w:trPr>
        <w:tc>
          <w:tcPr>
            <w:tcW w:type="dxa" w:w="3162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0" w:after="0"/>
              <w:ind w:left="0" w:right="356" w:firstLine="0"/>
              <w:jc w:val="right"/>
            </w:pPr>
            <w:r>
              <w:rPr>
                <w:w w:val="101.99453690472771"/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>Name:</w:t>
            </w:r>
          </w:p>
        </w:tc>
        <w:tc>
          <w:tcPr>
            <w:tcW w:type="dxa" w:w="4324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C. Michael Palmer</w:t>
            </w:r>
          </w:p>
        </w:tc>
      </w:tr>
      <w:tr>
        <w:trPr>
          <w:trHeight w:hRule="exact" w:val="260"/>
        </w:trPr>
        <w:tc>
          <w:tcPr>
            <w:tcW w:type="dxa" w:w="3162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0" w:after="0"/>
              <w:ind w:left="0" w:right="486" w:firstLine="0"/>
              <w:jc w:val="right"/>
            </w:pPr>
            <w:r>
              <w:rPr>
                <w:w w:val="101.99453690472771"/>
                <w:rFonts w:ascii="TimesNewRomanPSMT" w:hAnsi="TimesNewRomanPSMT" w:eastAsia="TimesNewRomanPSMT"/>
                <w:b w:val="0"/>
                <w:i w:val="0"/>
                <w:color w:val="000000"/>
                <w:sz w:val="17"/>
              </w:rPr>
              <w:t>Title:</w:t>
            </w:r>
          </w:p>
        </w:tc>
        <w:tc>
          <w:tcPr>
            <w:tcW w:type="dxa" w:w="4324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Sr. Vice President, Supply Distribution &amp; Planning</w:t>
            </w:r>
          </w:p>
        </w:tc>
      </w:tr>
    </w:tbl>
    <w:p>
      <w:pPr>
        <w:autoSpaceDN w:val="0"/>
        <w:autoSpaceDE w:val="0"/>
        <w:widowControl/>
        <w:spacing w:line="142" w:lineRule="exact" w:before="78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17</w:t>
      </w:r>
    </w:p>
    <w:p>
      <w:pPr>
        <w:autoSpaceDN w:val="0"/>
        <w:autoSpaceDE w:val="0"/>
        <w:widowControl/>
        <w:spacing w:line="240" w:lineRule="auto" w:before="6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34" w:right="96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5562600</wp:posOffset>
            </wp:positionH>
            <wp:positionV relativeFrom="page">
              <wp:posOffset>1511300</wp:posOffset>
            </wp:positionV>
            <wp:extent cx="38100" cy="381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5397500</wp:posOffset>
            </wp:positionH>
            <wp:positionV relativeFrom="page">
              <wp:posOffset>1511300</wp:posOffset>
            </wp:positionV>
            <wp:extent cx="139700" cy="381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4076700</wp:posOffset>
            </wp:positionH>
            <wp:positionV relativeFrom="page">
              <wp:posOffset>1346200</wp:posOffset>
            </wp:positionV>
            <wp:extent cx="88900" cy="889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4178300</wp:posOffset>
            </wp:positionV>
            <wp:extent cx="660400" cy="1651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4140200</wp:posOffset>
            </wp:positionV>
            <wp:extent cx="1003300" cy="2032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3962400</wp:posOffset>
            </wp:positionV>
            <wp:extent cx="647700" cy="1651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3937000</wp:posOffset>
            </wp:positionV>
            <wp:extent cx="558800" cy="889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8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1574800</wp:posOffset>
            </wp:positionH>
            <wp:positionV relativeFrom="page">
              <wp:posOffset>3911600</wp:posOffset>
            </wp:positionV>
            <wp:extent cx="114300" cy="1270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1574800</wp:posOffset>
            </wp:positionH>
            <wp:positionV relativeFrom="page">
              <wp:posOffset>3771900</wp:posOffset>
            </wp:positionV>
            <wp:extent cx="114300" cy="1270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3759200</wp:posOffset>
            </wp:positionV>
            <wp:extent cx="647700" cy="1905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2565400</wp:posOffset>
            </wp:positionH>
            <wp:positionV relativeFrom="page">
              <wp:posOffset>3759200</wp:posOffset>
            </wp:positionV>
            <wp:extent cx="723900" cy="3937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393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1431290</wp:posOffset>
            </wp:positionH>
            <wp:positionV relativeFrom="page">
              <wp:posOffset>1197610</wp:posOffset>
            </wp:positionV>
            <wp:extent cx="4693920" cy="3262343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326234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4254500</wp:posOffset>
            </wp:positionV>
            <wp:extent cx="38100" cy="381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2247900</wp:posOffset>
            </wp:positionH>
            <wp:positionV relativeFrom="page">
              <wp:posOffset>1549400</wp:posOffset>
            </wp:positionV>
            <wp:extent cx="101600" cy="381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0" w:lineRule="exact" w:before="0" w:after="0"/>
        <w:ind w:left="2736" w:right="2736" w:firstLine="0"/>
        <w:jc w:val="center"/>
      </w:pPr>
      <w:r>
        <w:rPr>
          <w:w w:val="101.99453690472771"/>
          <w:rFonts w:ascii="TimesNewRomanPS" w:hAnsi="TimesNewRomanPS" w:eastAsia="TimesNewRomanPS"/>
          <w:b/>
          <w:i w:val="0"/>
          <w:color w:val="000000"/>
          <w:sz w:val="17"/>
        </w:rPr>
        <w:t xml:space="preserve">EXHIBIT A </w:t>
      </w:r>
      <w:r>
        <w:br/>
      </w:r>
      <w:r>
        <w:rPr>
          <w:w w:val="101.99453690472771"/>
          <w:rFonts w:ascii="TimesNewRomanPS" w:hAnsi="TimesNewRomanPS" w:eastAsia="TimesNewRomanPS"/>
          <w:b/>
          <w:i w:val="0"/>
          <w:color w:val="000000"/>
          <w:sz w:val="17"/>
        </w:rPr>
        <w:t>Common Carrier Pipeline, including Origins and Destinations</w:t>
      </w:r>
    </w:p>
    <w:p>
      <w:pPr>
        <w:autoSpaceDN w:val="0"/>
        <w:autoSpaceDE w:val="0"/>
        <w:widowControl/>
        <w:spacing w:line="240" w:lineRule="auto" w:before="4248" w:after="1532"/>
        <w:ind w:left="17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73100" cy="889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889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34.0" w:type="dxa"/>
      </w:tblPr>
      <w:tblGrid>
        <w:gridCol w:w="3320"/>
        <w:gridCol w:w="3320"/>
        <w:gridCol w:w="3320"/>
      </w:tblGrid>
      <w:tr>
        <w:trPr>
          <w:trHeight w:hRule="exact" w:val="248"/>
        </w:trPr>
        <w:tc>
          <w:tcPr>
            <w:tcW w:type="dxa" w:w="2622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8" w:after="0"/>
              <w:ind w:left="0" w:right="0" w:firstLine="0"/>
              <w:jc w:val="center"/>
            </w:pPr>
            <w:r>
              <w:rPr>
                <w:w w:val="101.59611701965332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Pipeline System</w:t>
            </w:r>
          </w:p>
        </w:tc>
        <w:tc>
          <w:tcPr>
            <w:tcW w:type="dxa" w:w="2992"/>
            <w:tcBorders>
              <w:start w:sz="4.0" w:val="single" w:color="#000000"/>
              <w:top w:sz="4.0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8" w:after="0"/>
              <w:ind w:left="0" w:right="0" w:firstLine="0"/>
              <w:jc w:val="center"/>
            </w:pPr>
            <w:r>
              <w:rPr>
                <w:w w:val="101.59611701965332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New/Existing Pipeline</w:t>
            </w:r>
          </w:p>
        </w:tc>
        <w:tc>
          <w:tcPr>
            <w:tcW w:type="dxa" w:w="1670"/>
            <w:tcBorders>
              <w:start w:sz="4.799999999999727" w:val="single" w:color="#000000"/>
              <w:top w:sz="4.0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8" w:after="0"/>
              <w:ind w:left="0" w:right="0" w:firstLine="0"/>
              <w:jc w:val="center"/>
            </w:pPr>
            <w:r>
              <w:rPr>
                <w:w w:val="101.59611701965332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Pipeline Owner</w:t>
            </w:r>
          </w:p>
        </w:tc>
      </w:tr>
      <w:tr>
        <w:trPr>
          <w:trHeight w:hRule="exact" w:val="248"/>
        </w:trPr>
        <w:tc>
          <w:tcPr>
            <w:tcW w:type="dxa" w:w="2622"/>
            <w:tcBorders>
              <w:start w:sz="4.7999999999999545" w:val="single" w:color="#000000"/>
              <w:top w:sz="4.80000000000018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center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Cornerstone Pipeline</w:t>
            </w:r>
          </w:p>
        </w:tc>
        <w:tc>
          <w:tcPr>
            <w:tcW w:type="dxa" w:w="2992"/>
            <w:tcBorders>
              <w:start w:sz="4.0" w:val="single" w:color="#000000"/>
              <w:top w:sz="4.800000000000182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center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New</w:t>
            </w:r>
          </w:p>
        </w:tc>
        <w:tc>
          <w:tcPr>
            <w:tcW w:type="dxa" w:w="1670"/>
            <w:tcBorders>
              <w:start w:sz="4.799999999999727" w:val="single" w:color="#000000"/>
              <w:top w:sz="4.80000000000018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center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MPL</w:t>
            </w:r>
          </w:p>
        </w:tc>
      </w:tr>
      <w:tr>
        <w:trPr>
          <w:trHeight w:hRule="exact" w:val="250"/>
        </w:trPr>
        <w:tc>
          <w:tcPr>
            <w:tcW w:type="dxa" w:w="2622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0" w:after="0"/>
              <w:ind w:left="0" w:right="0" w:firstLine="0"/>
              <w:jc w:val="center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East Sparta to Lima Pipeline</w:t>
            </w:r>
          </w:p>
        </w:tc>
        <w:tc>
          <w:tcPr>
            <w:tcW w:type="dxa" w:w="2992"/>
            <w:tcBorders>
              <w:start w:sz="4.0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0" w:after="0"/>
              <w:ind w:left="0" w:right="0" w:firstLine="0"/>
              <w:jc w:val="center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New</w:t>
            </w:r>
          </w:p>
        </w:tc>
        <w:tc>
          <w:tcPr>
            <w:tcW w:type="dxa" w:w="1670"/>
            <w:tcBorders>
              <w:start w:sz="4.799999999999727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0" w:after="0"/>
              <w:ind w:left="0" w:right="0" w:firstLine="0"/>
              <w:jc w:val="center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MPL</w:t>
            </w:r>
          </w:p>
        </w:tc>
      </w:tr>
      <w:tr>
        <w:trPr>
          <w:trHeight w:hRule="exact" w:val="250"/>
        </w:trPr>
        <w:tc>
          <w:tcPr>
            <w:tcW w:type="dxa" w:w="2622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East Sparta to Heath</w:t>
            </w:r>
          </w:p>
        </w:tc>
        <w:tc>
          <w:tcPr>
            <w:tcW w:type="dxa" w:w="2992"/>
            <w:tcBorders>
              <w:start w:sz="4.0" w:val="single" w:color="#000000"/>
              <w:top w:sz="4.0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Existing (Expansion)</w:t>
            </w:r>
          </w:p>
        </w:tc>
        <w:tc>
          <w:tcPr>
            <w:tcW w:type="dxa" w:w="1670"/>
            <w:tcBorders>
              <w:start w:sz="4.799999999999727" w:val="single" w:color="#000000"/>
              <w:top w:sz="4.0" w:val="single" w:color="#000000"/>
              <w:end w:sz="4.0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ORPL</w:t>
            </w:r>
          </w:p>
        </w:tc>
      </w:tr>
      <w:tr>
        <w:trPr>
          <w:trHeight w:hRule="exact" w:val="250"/>
        </w:trPr>
        <w:tc>
          <w:tcPr>
            <w:tcW w:type="dxa" w:w="2622"/>
            <w:tcBorders>
              <w:start w:sz="4.7999999999999545" w:val="single" w:color="#000000"/>
              <w:top w:sz="4.799999999999727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center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Heath to Findlay</w:t>
            </w:r>
          </w:p>
        </w:tc>
        <w:tc>
          <w:tcPr>
            <w:tcW w:type="dxa" w:w="2992"/>
            <w:tcBorders>
              <w:start w:sz="4.0" w:val="single" w:color="#000000"/>
              <w:top w:sz="4.799999999999727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center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Existing (Expansion)</w:t>
            </w:r>
          </w:p>
        </w:tc>
        <w:tc>
          <w:tcPr>
            <w:tcW w:type="dxa" w:w="1670"/>
            <w:tcBorders>
              <w:start w:sz="4.799999999999727" w:val="single" w:color="#000000"/>
              <w:top w:sz="4.799999999999727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center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ORPL</w:t>
            </w:r>
          </w:p>
        </w:tc>
      </w:tr>
      <w:tr>
        <w:trPr>
          <w:trHeight w:hRule="exact" w:val="250"/>
        </w:trPr>
        <w:tc>
          <w:tcPr>
            <w:tcW w:type="dxa" w:w="2622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center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RIO</w:t>
            </w:r>
          </w:p>
        </w:tc>
        <w:tc>
          <w:tcPr>
            <w:tcW w:type="dxa" w:w="2992"/>
            <w:tcBorders>
              <w:start w:sz="4.0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center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Existing (Reversal &amp; Expansion)</w:t>
            </w:r>
          </w:p>
        </w:tc>
        <w:tc>
          <w:tcPr>
            <w:tcW w:type="dxa" w:w="1670"/>
            <w:tcBorders>
              <w:start w:sz="4.799999999999727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center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MPC</w:t>
            </w:r>
          </w:p>
        </w:tc>
      </w:tr>
      <w:tr>
        <w:trPr>
          <w:trHeight w:hRule="exact" w:val="248"/>
        </w:trPr>
        <w:tc>
          <w:tcPr>
            <w:tcW w:type="dxa" w:w="2622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center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Two Rivers</w:t>
            </w:r>
          </w:p>
        </w:tc>
        <w:tc>
          <w:tcPr>
            <w:tcW w:type="dxa" w:w="2992"/>
            <w:tcBorders>
              <w:start w:sz="4.0" w:val="single" w:color="#000000"/>
              <w:top w:sz="4.0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center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Existing</w:t>
            </w:r>
          </w:p>
        </w:tc>
        <w:tc>
          <w:tcPr>
            <w:tcW w:type="dxa" w:w="1670"/>
            <w:tcBorders>
              <w:start w:sz="4.799999999999727" w:val="single" w:color="#000000"/>
              <w:top w:sz="4.0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center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MPL</w:t>
            </w:r>
          </w:p>
        </w:tc>
      </w:tr>
      <w:tr>
        <w:trPr>
          <w:trHeight w:hRule="exact" w:val="248"/>
        </w:trPr>
        <w:tc>
          <w:tcPr>
            <w:tcW w:type="dxa" w:w="2622"/>
            <w:tcBorders>
              <w:start w:sz="4.7999999999999545" w:val="single" w:color="#000000"/>
              <w:top w:sz="4.80000000000018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center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Wabash</w:t>
            </w:r>
          </w:p>
        </w:tc>
        <w:tc>
          <w:tcPr>
            <w:tcW w:type="dxa" w:w="2992"/>
            <w:tcBorders>
              <w:start w:sz="4.0" w:val="single" w:color="#000000"/>
              <w:top w:sz="4.800000000000182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center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Existing</w:t>
            </w:r>
          </w:p>
        </w:tc>
        <w:tc>
          <w:tcPr>
            <w:tcW w:type="dxa" w:w="1670"/>
            <w:tcBorders>
              <w:start w:sz="4.799999999999727" w:val="single" w:color="#000000"/>
              <w:top w:sz="4.80000000000018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center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MPL</w:t>
            </w:r>
          </w:p>
        </w:tc>
      </w:tr>
    </w:tbl>
    <w:p>
      <w:pPr>
        <w:autoSpaceDN w:val="0"/>
        <w:autoSpaceDE w:val="0"/>
        <w:widowControl/>
        <w:spacing w:line="162" w:lineRule="exact" w:before="252" w:after="0"/>
        <w:ind w:left="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 MPC RIO system is an existing private pipeline owned by Marathon Petroleum Company, LP (MPC). MPL may purchase the RIO system, with the intent to reverse and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repurpose the system from common carrier movements.</w:t>
      </w:r>
    </w:p>
    <w:p>
      <w:pPr>
        <w:autoSpaceDN w:val="0"/>
        <w:autoSpaceDE w:val="0"/>
        <w:widowControl/>
        <w:spacing w:line="142" w:lineRule="exact" w:before="19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18</w:t>
      </w:r>
    </w:p>
    <w:p>
      <w:pPr>
        <w:autoSpaceDN w:val="0"/>
        <w:autoSpaceDE w:val="0"/>
        <w:widowControl/>
        <w:spacing w:line="240" w:lineRule="auto" w:before="7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66" w:right="96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626110</wp:posOffset>
            </wp:positionH>
            <wp:positionV relativeFrom="page">
              <wp:posOffset>1211580</wp:posOffset>
            </wp:positionV>
            <wp:extent cx="4693920" cy="4150196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415019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3492500</wp:posOffset>
            </wp:positionH>
            <wp:positionV relativeFrom="page">
              <wp:posOffset>2946400</wp:posOffset>
            </wp:positionV>
            <wp:extent cx="38100" cy="381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2946400</wp:posOffset>
            </wp:positionV>
            <wp:extent cx="38100" cy="381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4038600</wp:posOffset>
            </wp:positionH>
            <wp:positionV relativeFrom="page">
              <wp:posOffset>2781300</wp:posOffset>
            </wp:positionV>
            <wp:extent cx="38100" cy="381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2374900</wp:posOffset>
            </wp:positionH>
            <wp:positionV relativeFrom="page">
              <wp:posOffset>1778000</wp:posOffset>
            </wp:positionV>
            <wp:extent cx="38100" cy="381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2298700</wp:posOffset>
            </wp:positionH>
            <wp:positionV relativeFrom="page">
              <wp:posOffset>1676400</wp:posOffset>
            </wp:positionV>
            <wp:extent cx="88900" cy="381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3492500</wp:posOffset>
            </wp:positionH>
            <wp:positionV relativeFrom="page">
              <wp:posOffset>4495800</wp:posOffset>
            </wp:positionV>
            <wp:extent cx="38100" cy="381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3759200</wp:posOffset>
            </wp:positionV>
            <wp:extent cx="127000" cy="508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3937000</wp:posOffset>
            </wp:positionV>
            <wp:extent cx="50800" cy="508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2336800</wp:posOffset>
            </wp:positionH>
            <wp:positionV relativeFrom="page">
              <wp:posOffset>3759200</wp:posOffset>
            </wp:positionV>
            <wp:extent cx="50800" cy="508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6" w:lineRule="exact" w:before="0" w:after="0"/>
        <w:ind w:left="4464" w:right="4464" w:firstLine="0"/>
        <w:jc w:val="center"/>
      </w:pPr>
      <w:r>
        <w:rPr>
          <w:w w:val="101.99453690472771"/>
          <w:rFonts w:ascii="TimesNewRomanPS" w:hAnsi="TimesNewRomanPS" w:eastAsia="TimesNewRomanPS"/>
          <w:b/>
          <w:i w:val="0"/>
          <w:color w:val="000000"/>
          <w:sz w:val="17"/>
        </w:rPr>
        <w:t xml:space="preserve">EXHIBIT B </w:t>
      </w:r>
      <w:r>
        <w:br/>
      </w:r>
      <w:r>
        <w:rPr>
          <w:w w:val="101.99453690472771"/>
          <w:rFonts w:ascii="TimesNewRomanPS" w:hAnsi="TimesNewRomanPS" w:eastAsia="TimesNewRomanPS"/>
          <w:b/>
          <w:i w:val="0"/>
          <w:color w:val="000000"/>
          <w:sz w:val="17"/>
        </w:rPr>
        <w:t>Tariff Rates</w:t>
      </w:r>
    </w:p>
    <w:p>
      <w:pPr>
        <w:autoSpaceDN w:val="0"/>
        <w:autoSpaceDE w:val="0"/>
        <w:widowControl/>
        <w:spacing w:line="142" w:lineRule="exact" w:before="690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19</w:t>
      </w:r>
    </w:p>
    <w:p>
      <w:pPr>
        <w:autoSpaceDN w:val="0"/>
        <w:autoSpaceDE w:val="0"/>
        <w:widowControl/>
        <w:spacing w:line="240" w:lineRule="auto" w:before="6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90" w:right="96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2"/>
        <w:ind w:left="0" w:right="0"/>
      </w:pPr>
    </w:p>
    <w:p>
      <w:pPr>
        <w:autoSpaceDN w:val="0"/>
        <w:autoSpaceDE w:val="0"/>
        <w:widowControl/>
        <w:spacing w:line="174" w:lineRule="exact" w:before="0" w:after="0"/>
        <w:ind w:left="0" w:right="0" w:firstLine="0"/>
        <w:jc w:val="center"/>
      </w:pPr>
      <w:r>
        <w:rPr>
          <w:w w:val="101.99453690472771"/>
          <w:rFonts w:ascii="TimesNewRomanPS" w:hAnsi="TimesNewRomanPS" w:eastAsia="TimesNewRomanPS"/>
          <w:b/>
          <w:i w:val="0"/>
          <w:color w:val="000000"/>
          <w:sz w:val="17"/>
        </w:rPr>
        <w:t>EXHIBIT C</w:t>
      </w:r>
    </w:p>
    <w:p>
      <w:pPr>
        <w:autoSpaceDN w:val="0"/>
        <w:autoSpaceDE w:val="0"/>
        <w:widowControl/>
        <w:spacing w:line="174" w:lineRule="exact" w:before="368" w:after="0"/>
        <w:ind w:left="0" w:right="0" w:firstLine="0"/>
        <w:jc w:val="center"/>
      </w:pPr>
      <w:r>
        <w:rPr>
          <w:w w:val="101.99453690472771"/>
          <w:rFonts w:ascii="TimesNewRomanPS" w:hAnsi="TimesNewRomanPS" w:eastAsia="TimesNewRomanPS"/>
          <w:b/>
          <w:i w:val="0"/>
          <w:color w:val="000000"/>
          <w:sz w:val="17"/>
        </w:rPr>
        <w:t>Include copy of Shipper’s submitted Capacity Request Form (CFR) indicating desired routes and destinations.</w:t>
      </w:r>
    </w:p>
    <w:p>
      <w:pPr>
        <w:autoSpaceDN w:val="0"/>
        <w:autoSpaceDE w:val="0"/>
        <w:widowControl/>
        <w:spacing w:line="174" w:lineRule="exact" w:before="454" w:after="0"/>
        <w:ind w:left="0" w:right="0" w:firstLine="0"/>
        <w:jc w:val="center"/>
      </w:pPr>
      <w:r>
        <w:rPr>
          <w:w w:val="101.99453690472771"/>
          <w:rFonts w:ascii="TimesNewRomanPSMT" w:hAnsi="TimesNewRomanPSMT" w:eastAsia="TimesNewRomanPSMT"/>
          <w:b w:val="0"/>
          <w:i w:val="0"/>
          <w:color w:val="000000"/>
          <w:sz w:val="17"/>
        </w:rPr>
        <w:t>Capacity Request Forms follow this page</w:t>
      </w:r>
    </w:p>
    <w:p>
      <w:pPr>
        <w:autoSpaceDN w:val="0"/>
        <w:autoSpaceDE w:val="0"/>
        <w:widowControl/>
        <w:spacing w:line="142" w:lineRule="exact" w:before="166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</w:t>
      </w:r>
    </w:p>
    <w:p>
      <w:pPr>
        <w:autoSpaceDN w:val="0"/>
        <w:autoSpaceDE w:val="0"/>
        <w:widowControl/>
        <w:spacing w:line="240" w:lineRule="auto" w:before="7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70" w:right="96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2"/>
        <w:ind w:left="0" w:right="0"/>
      </w:pPr>
    </w:p>
    <w:p>
      <w:pPr>
        <w:autoSpaceDN w:val="0"/>
        <w:tabs>
          <w:tab w:pos="1946" w:val="left"/>
          <w:tab w:pos="9024" w:val="left"/>
        </w:tabs>
        <w:autoSpaceDE w:val="0"/>
        <w:widowControl/>
        <w:spacing w:line="194" w:lineRule="exact" w:before="0" w:after="0"/>
        <w:ind w:left="754" w:right="720" w:firstLine="0"/>
        <w:jc w:val="left"/>
      </w:pP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 xml:space="preserve">(1) </w:t>
      </w:r>
      <w:r>
        <w:rPr>
          <w:w w:val="101.37763484831778"/>
          <w:rFonts w:ascii="TimesNewRomanPS" w:hAnsi="TimesNewRomanPS" w:eastAsia="TimesNewRomanPS"/>
          <w:b/>
          <w:i w:val="0"/>
          <w:color w:val="000000"/>
          <w:sz w:val="31"/>
        </w:rPr>
        <w:t xml:space="preserve">Appendix 5 - Capacity Request Form (CRF) - Ratable Volume </w:t>
      </w:r>
      <w:r>
        <w:tab/>
      </w:r>
      <w:r>
        <w:rPr>
          <w:w w:val="98.04831913539341"/>
          <w:rFonts w:ascii="TimesNewRomanPS" w:hAnsi="TimesNewRomanPS" w:eastAsia="TimesNewRomanPS"/>
          <w:b/>
          <w:i w:val="0"/>
          <w:color w:val="000000"/>
          <w:sz w:val="21"/>
        </w:rPr>
        <w:t>Please complete one form for each product type per delivery location</w:t>
      </w:r>
    </w:p>
    <w:p>
      <w:pPr>
        <w:autoSpaceDN w:val="0"/>
        <w:autoSpaceDE w:val="0"/>
        <w:widowControl/>
        <w:spacing w:line="206" w:lineRule="exact" w:before="182" w:after="0"/>
        <w:ind w:left="0" w:right="0" w:firstLine="0"/>
        <w:jc w:val="center"/>
      </w:pPr>
      <w:r>
        <w:rPr>
          <w:w w:val="98.04831913539341"/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Name of Shipper: </w:t>
      </w:r>
      <w:r>
        <w:rPr>
          <w:w w:val="98.04831913539341"/>
          <w:rFonts w:ascii="TimesNewRomanPSMT" w:hAnsi="TimesNewRomanPSMT" w:eastAsia="TimesNewRomanPSMT"/>
          <w:b w:val="0"/>
          <w:i w:val="0"/>
          <w:color w:val="000000"/>
          <w:sz w:val="21"/>
          <w:u w:val="single"/>
        </w:rPr>
        <w:t>Marathon Petroleum Company LP</w:t>
      </w:r>
    </w:p>
    <w:p>
      <w:pPr>
        <w:autoSpaceDN w:val="0"/>
        <w:autoSpaceDE w:val="0"/>
        <w:widowControl/>
        <w:spacing w:line="206" w:lineRule="exact" w:before="196" w:after="0"/>
        <w:ind w:left="0" w:right="0" w:firstLine="0"/>
        <w:jc w:val="center"/>
      </w:pPr>
      <w:r>
        <w:rPr>
          <w:w w:val="98.04831913539341"/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Term/Service [Priority, (5,10, 15 Year) Non-Priority] </w:t>
      </w:r>
      <w:r>
        <w:rPr>
          <w:w w:val="98.04831913539341"/>
          <w:rFonts w:ascii="TimesNewRomanPSMT" w:hAnsi="TimesNewRomanPSMT" w:eastAsia="TimesNewRomanPSMT"/>
          <w:b w:val="0"/>
          <w:i w:val="0"/>
          <w:color w:val="000000"/>
          <w:sz w:val="21"/>
          <w:u w:val="single"/>
        </w:rPr>
        <w:t>Priority 15 Year</w:t>
      </w:r>
    </w:p>
    <w:p>
      <w:pPr>
        <w:autoSpaceDN w:val="0"/>
        <w:autoSpaceDE w:val="0"/>
        <w:widowControl/>
        <w:spacing w:line="206" w:lineRule="exact" w:before="194" w:after="548"/>
        <w:ind w:left="0" w:right="0" w:firstLine="0"/>
        <w:jc w:val="center"/>
      </w:pPr>
      <w:r>
        <w:rPr>
          <w:w w:val="98.04831913539341"/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Product Type [Condensate, Natural Gasoline, Diluent or Butane]: </w:t>
      </w:r>
      <w:r>
        <w:rPr>
          <w:w w:val="98.04831913539341"/>
          <w:rFonts w:ascii="TimesNewRomanPSMT" w:hAnsi="TimesNewRomanPSMT" w:eastAsia="TimesNewRomanPSMT"/>
          <w:b w:val="0"/>
          <w:i w:val="0"/>
          <w:color w:val="000000"/>
          <w:sz w:val="21"/>
          <w:u w:val="single"/>
        </w:rPr>
        <w:t>Condensate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16.0000000000002" w:type="dxa"/>
      </w:tblPr>
      <w:tblGrid>
        <w:gridCol w:w="1992"/>
        <w:gridCol w:w="1992"/>
        <w:gridCol w:w="1992"/>
        <w:gridCol w:w="1992"/>
        <w:gridCol w:w="1992"/>
      </w:tblGrid>
      <w:tr>
        <w:trPr>
          <w:trHeight w:hRule="exact" w:val="250"/>
        </w:trPr>
        <w:tc>
          <w:tcPr>
            <w:tcW w:type="dxa" w:w="662"/>
            <w:tcBorders>
              <w:start w:sz="4.0" w:val="single" w:color="#000000"/>
              <w:top w:sz="4.0" w:val="single" w:color="#000000"/>
              <w:end w:sz="4.799999999999954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0" w:right="0" w:firstLine="0"/>
              <w:jc w:val="center"/>
            </w:pPr>
            <w:r>
              <w:rPr>
                <w:w w:val="101.59611701965332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Year</w:t>
            </w:r>
          </w:p>
        </w:tc>
        <w:tc>
          <w:tcPr>
            <w:tcW w:type="dxa" w:w="1484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0" w:right="0" w:firstLine="0"/>
              <w:jc w:val="center"/>
            </w:pPr>
            <w:r>
              <w:rPr>
                <w:w w:val="101.59611701965332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Desired Volume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0" w:right="0" w:firstLine="0"/>
              <w:jc w:val="center"/>
            </w:pPr>
            <w:r>
              <w:rPr>
                <w:w w:val="101.59611701965332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Origination Location </w:t>
            </w:r>
          </w:p>
        </w:tc>
        <w:tc>
          <w:tcPr>
            <w:tcW w:type="dxa" w:w="1420"/>
            <w:tcBorders>
              <w:start w:sz="4.799999999999727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0" w:right="0" w:firstLine="0"/>
              <w:jc w:val="left"/>
            </w:pPr>
            <w:r>
              <w:rPr>
                <w:w w:val="101.59611701965332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Delivery Location</w:t>
            </w:r>
          </w:p>
        </w:tc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0" w:right="0" w:firstLine="0"/>
              <w:jc w:val="center"/>
            </w:pPr>
            <w:r>
              <w:rPr>
                <w:w w:val="101.59611701965332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Rate</w:t>
            </w:r>
          </w:p>
        </w:tc>
      </w:tr>
      <w:tr>
        <w:trPr>
          <w:trHeight w:hRule="exact" w:val="250"/>
        </w:trPr>
        <w:tc>
          <w:tcPr>
            <w:tcW w:type="dxa" w:w="662"/>
            <w:tcBorders>
              <w:start w:sz="4.0" w:val="single" w:color="#000000"/>
              <w:top w:sz="4.0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center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484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42" w:val="left"/>
              </w:tabs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20,000 </w:t>
            </w:r>
            <w:r>
              <w:tab/>
            </w: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BPD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Cadiz/Scio</w:t>
            </w:r>
          </w:p>
        </w:tc>
        <w:tc>
          <w:tcPr>
            <w:tcW w:type="dxa" w:w="1420"/>
            <w:tcBorders>
              <w:start w:sz="4.799999999999727" w:val="single" w:color="#000000"/>
              <w:top w:sz="4.0" w:val="single" w:color="#000000"/>
              <w:end w:sz="4.0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MPC Canton</w:t>
            </w:r>
          </w:p>
        </w:tc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$ 2.26</w:t>
            </w:r>
          </w:p>
        </w:tc>
      </w:tr>
      <w:tr>
        <w:trPr>
          <w:trHeight w:hRule="exact" w:val="250"/>
        </w:trPr>
        <w:tc>
          <w:tcPr>
            <w:tcW w:type="dxa" w:w="662"/>
            <w:tcBorders>
              <w:start w:sz="4.0" w:val="single" w:color="#000000"/>
              <w:top w:sz="4.7999999999999545" w:val="single" w:color="#000000"/>
              <w:end w:sz="4.799999999999954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center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484"/>
            <w:tcBorders>
              <w:start w:sz="4.7999999999999545" w:val="single" w:color="#000000"/>
              <w:top w:sz="4.79999999999995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42" w:val="left"/>
              </w:tabs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20,000 </w:t>
            </w:r>
            <w:r>
              <w:tab/>
            </w: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BPD</w:t>
            </w:r>
          </w:p>
        </w:tc>
        <w:tc>
          <w:tcPr>
            <w:tcW w:type="dxa" w:w="1540"/>
            <w:tcBorders>
              <w:start w:sz="4.0" w:val="single" w:color="#000000"/>
              <w:top w:sz="4.7999999999999545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Cadiz/Scio</w:t>
            </w:r>
          </w:p>
        </w:tc>
        <w:tc>
          <w:tcPr>
            <w:tcW w:type="dxa" w:w="1420"/>
            <w:tcBorders>
              <w:start w:sz="4.799999999999727" w:val="single" w:color="#000000"/>
              <w:top w:sz="4.79999999999995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MPC Canton</w:t>
            </w:r>
          </w:p>
        </w:tc>
        <w:tc>
          <w:tcPr>
            <w:tcW w:type="dxa" w:w="822"/>
            <w:tcBorders>
              <w:start w:sz="4.0" w:val="single" w:color="#000000"/>
              <w:top w:sz="4.79999999999995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$ 2.26</w:t>
            </w:r>
          </w:p>
        </w:tc>
      </w:tr>
      <w:tr>
        <w:trPr>
          <w:trHeight w:hRule="exact" w:val="248"/>
        </w:trPr>
        <w:tc>
          <w:tcPr>
            <w:tcW w:type="dxa" w:w="662"/>
            <w:tcBorders>
              <w:start w:sz="4.0" w:val="single" w:color="#000000"/>
              <w:top w:sz="4.0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center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84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42" w:val="left"/>
              </w:tabs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20,000 </w:t>
            </w:r>
            <w:r>
              <w:tab/>
            </w: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BPD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Cadiz/Scio</w:t>
            </w:r>
          </w:p>
        </w:tc>
        <w:tc>
          <w:tcPr>
            <w:tcW w:type="dxa" w:w="1420"/>
            <w:tcBorders>
              <w:start w:sz="4.799999999999727" w:val="single" w:color="#000000"/>
              <w:top w:sz="4.0" w:val="single" w:color="#000000"/>
              <w:end w:sz="4.0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MPC Canton</w:t>
            </w:r>
          </w:p>
        </w:tc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$ 2.26</w:t>
            </w:r>
          </w:p>
        </w:tc>
      </w:tr>
      <w:tr>
        <w:trPr>
          <w:trHeight w:hRule="exact" w:val="250"/>
        </w:trPr>
        <w:tc>
          <w:tcPr>
            <w:tcW w:type="dxa" w:w="662"/>
            <w:tcBorders>
              <w:start w:sz="4.0" w:val="single" w:color="#000000"/>
              <w:top w:sz="4.7999999999999545" w:val="single" w:color="#000000"/>
              <w:end w:sz="4.799999999999954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center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484"/>
            <w:tcBorders>
              <w:start w:sz="4.7999999999999545" w:val="single" w:color="#000000"/>
              <w:top w:sz="4.79999999999995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42" w:val="left"/>
              </w:tabs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20,000 </w:t>
            </w:r>
            <w:r>
              <w:tab/>
            </w: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BPD</w:t>
            </w:r>
          </w:p>
        </w:tc>
        <w:tc>
          <w:tcPr>
            <w:tcW w:type="dxa" w:w="1540"/>
            <w:tcBorders>
              <w:start w:sz="4.0" w:val="single" w:color="#000000"/>
              <w:top w:sz="4.7999999999999545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Cadiz/Scio</w:t>
            </w:r>
          </w:p>
        </w:tc>
        <w:tc>
          <w:tcPr>
            <w:tcW w:type="dxa" w:w="1420"/>
            <w:tcBorders>
              <w:start w:sz="4.799999999999727" w:val="single" w:color="#000000"/>
              <w:top w:sz="4.79999999999995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MPC Canton</w:t>
            </w:r>
          </w:p>
        </w:tc>
        <w:tc>
          <w:tcPr>
            <w:tcW w:type="dxa" w:w="822"/>
            <w:tcBorders>
              <w:start w:sz="4.0" w:val="single" w:color="#000000"/>
              <w:top w:sz="4.79999999999995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$ 2.26</w:t>
            </w:r>
          </w:p>
        </w:tc>
      </w:tr>
      <w:tr>
        <w:trPr>
          <w:trHeight w:hRule="exact" w:val="248"/>
        </w:trPr>
        <w:tc>
          <w:tcPr>
            <w:tcW w:type="dxa" w:w="662"/>
            <w:tcBorders>
              <w:start w:sz="4.0" w:val="single" w:color="#000000"/>
              <w:top w:sz="4.0" w:val="single" w:color="#000000"/>
              <w:end w:sz="4.799999999999954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0" w:after="0"/>
              <w:ind w:left="0" w:right="0" w:firstLine="0"/>
              <w:jc w:val="center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484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42" w:val="left"/>
              </w:tabs>
              <w:autoSpaceDE w:val="0"/>
              <w:widowControl/>
              <w:spacing w:line="162" w:lineRule="exact" w:before="40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20,000 </w:t>
            </w:r>
            <w:r>
              <w:tab/>
            </w: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BPD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0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Cadiz/Scio</w:t>
            </w:r>
          </w:p>
        </w:tc>
        <w:tc>
          <w:tcPr>
            <w:tcW w:type="dxa" w:w="1420"/>
            <w:tcBorders>
              <w:start w:sz="4.799999999999727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0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MPC Canton</w:t>
            </w:r>
          </w:p>
        </w:tc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0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$ 2.26</w:t>
            </w:r>
          </w:p>
        </w:tc>
      </w:tr>
      <w:tr>
        <w:trPr>
          <w:trHeight w:hRule="exact" w:val="250"/>
        </w:trPr>
        <w:tc>
          <w:tcPr>
            <w:tcW w:type="dxa" w:w="662"/>
            <w:tcBorders>
              <w:start w:sz="4.0" w:val="single" w:color="#000000"/>
              <w:top w:sz="4.0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484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42" w:val="left"/>
              </w:tabs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20,000 </w:t>
            </w:r>
            <w:r>
              <w:tab/>
            </w: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BPD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Cadiz/Scio</w:t>
            </w:r>
          </w:p>
        </w:tc>
        <w:tc>
          <w:tcPr>
            <w:tcW w:type="dxa" w:w="1420"/>
            <w:tcBorders>
              <w:start w:sz="4.799999999999727" w:val="single" w:color="#000000"/>
              <w:top w:sz="4.0" w:val="single" w:color="#000000"/>
              <w:end w:sz="4.0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MPC Canton</w:t>
            </w:r>
          </w:p>
        </w:tc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$ 2.26</w:t>
            </w:r>
          </w:p>
        </w:tc>
      </w:tr>
      <w:tr>
        <w:trPr>
          <w:trHeight w:hRule="exact" w:val="250"/>
        </w:trPr>
        <w:tc>
          <w:tcPr>
            <w:tcW w:type="dxa" w:w="662"/>
            <w:tcBorders>
              <w:start w:sz="4.0" w:val="single" w:color="#000000"/>
              <w:top w:sz="4.799999999999727" w:val="single" w:color="#000000"/>
              <w:end w:sz="4.799999999999954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center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484"/>
            <w:tcBorders>
              <w:start w:sz="4.7999999999999545" w:val="single" w:color="#000000"/>
              <w:top w:sz="4.799999999999727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42" w:val="left"/>
              </w:tabs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20,000 </w:t>
            </w:r>
            <w:r>
              <w:tab/>
            </w: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BPD</w:t>
            </w:r>
          </w:p>
        </w:tc>
        <w:tc>
          <w:tcPr>
            <w:tcW w:type="dxa" w:w="1540"/>
            <w:tcBorders>
              <w:start w:sz="4.0" w:val="single" w:color="#000000"/>
              <w:top w:sz="4.799999999999727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Cadiz/Scio</w:t>
            </w:r>
          </w:p>
        </w:tc>
        <w:tc>
          <w:tcPr>
            <w:tcW w:type="dxa" w:w="1420"/>
            <w:tcBorders>
              <w:start w:sz="4.799999999999727" w:val="single" w:color="#000000"/>
              <w:top w:sz="4.799999999999727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MPC Canton</w:t>
            </w:r>
          </w:p>
        </w:tc>
        <w:tc>
          <w:tcPr>
            <w:tcW w:type="dxa" w:w="822"/>
            <w:tcBorders>
              <w:start w:sz="4.0" w:val="single" w:color="#000000"/>
              <w:top w:sz="4.799999999999727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$ 2.26</w:t>
            </w:r>
          </w:p>
        </w:tc>
      </w:tr>
      <w:tr>
        <w:trPr>
          <w:trHeight w:hRule="exact" w:val="248"/>
        </w:trPr>
        <w:tc>
          <w:tcPr>
            <w:tcW w:type="dxa" w:w="662"/>
            <w:tcBorders>
              <w:start w:sz="4.0" w:val="single" w:color="#000000"/>
              <w:top w:sz="4.0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center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484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42" w:val="left"/>
              </w:tabs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20,000 </w:t>
            </w:r>
            <w:r>
              <w:tab/>
            </w: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BPD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Cadiz/Scio</w:t>
            </w:r>
          </w:p>
        </w:tc>
        <w:tc>
          <w:tcPr>
            <w:tcW w:type="dxa" w:w="1420"/>
            <w:tcBorders>
              <w:start w:sz="4.799999999999727" w:val="single" w:color="#000000"/>
              <w:top w:sz="4.0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MPC Canton</w:t>
            </w:r>
          </w:p>
        </w:tc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$ 2.26</w:t>
            </w:r>
          </w:p>
        </w:tc>
      </w:tr>
      <w:tr>
        <w:trPr>
          <w:trHeight w:hRule="exact" w:val="248"/>
        </w:trPr>
        <w:tc>
          <w:tcPr>
            <w:tcW w:type="dxa" w:w="662"/>
            <w:tcBorders>
              <w:start w:sz="4.0" w:val="single" w:color="#000000"/>
              <w:top w:sz="4.800000000000182" w:val="single" w:color="#000000"/>
              <w:end w:sz="4.799999999999954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center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484"/>
            <w:tcBorders>
              <w:start w:sz="4.7999999999999545" w:val="single" w:color="#000000"/>
              <w:top w:sz="4.80000000000018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42" w:val="left"/>
              </w:tabs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20,000 </w:t>
            </w:r>
            <w:r>
              <w:tab/>
            </w: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BPD</w:t>
            </w:r>
          </w:p>
        </w:tc>
        <w:tc>
          <w:tcPr>
            <w:tcW w:type="dxa" w:w="1540"/>
            <w:tcBorders>
              <w:start w:sz="4.0" w:val="single" w:color="#000000"/>
              <w:top w:sz="4.800000000000182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Cadiz/Scio</w:t>
            </w:r>
          </w:p>
        </w:tc>
        <w:tc>
          <w:tcPr>
            <w:tcW w:type="dxa" w:w="1420"/>
            <w:tcBorders>
              <w:start w:sz="4.799999999999727" w:val="single" w:color="#000000"/>
              <w:top w:sz="4.80000000000018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MPC Canton</w:t>
            </w:r>
          </w:p>
        </w:tc>
        <w:tc>
          <w:tcPr>
            <w:tcW w:type="dxa" w:w="822"/>
            <w:tcBorders>
              <w:start w:sz="4.0" w:val="single" w:color="#000000"/>
              <w:top w:sz="4.80000000000018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$ 2.26</w:t>
            </w:r>
          </w:p>
        </w:tc>
      </w:tr>
      <w:tr>
        <w:trPr>
          <w:trHeight w:hRule="exact" w:val="250"/>
        </w:trPr>
        <w:tc>
          <w:tcPr>
            <w:tcW w:type="dxa" w:w="662"/>
            <w:tcBorders>
              <w:start w:sz="4.0" w:val="single" w:color="#000000"/>
              <w:top w:sz="4.0" w:val="single" w:color="#000000"/>
              <w:end w:sz="4.799999999999954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2" w:after="0"/>
              <w:ind w:left="0" w:right="0" w:firstLine="0"/>
              <w:jc w:val="center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484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42" w:val="left"/>
              </w:tabs>
              <w:autoSpaceDE w:val="0"/>
              <w:widowControl/>
              <w:spacing w:line="162" w:lineRule="exact" w:before="42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20,000 </w:t>
            </w:r>
            <w:r>
              <w:tab/>
            </w: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BPD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2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Cadiz/Scio</w:t>
            </w:r>
          </w:p>
        </w:tc>
        <w:tc>
          <w:tcPr>
            <w:tcW w:type="dxa" w:w="1420"/>
            <w:tcBorders>
              <w:start w:sz="4.799999999999727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2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MPC Canton</w:t>
            </w:r>
          </w:p>
        </w:tc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2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$ 2.26</w:t>
            </w:r>
          </w:p>
        </w:tc>
      </w:tr>
      <w:tr>
        <w:trPr>
          <w:trHeight w:hRule="exact" w:val="250"/>
        </w:trPr>
        <w:tc>
          <w:tcPr>
            <w:tcW w:type="dxa" w:w="662"/>
            <w:tcBorders>
              <w:start w:sz="4.0" w:val="single" w:color="#000000"/>
              <w:top w:sz="4.0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center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484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42" w:val="left"/>
              </w:tabs>
              <w:autoSpaceDE w:val="0"/>
              <w:widowControl/>
              <w:spacing w:line="164" w:lineRule="exact" w:before="40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20,000 </w:t>
            </w:r>
            <w:r>
              <w:tab/>
            </w: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BPD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Cadiz/Scio</w:t>
            </w:r>
          </w:p>
        </w:tc>
        <w:tc>
          <w:tcPr>
            <w:tcW w:type="dxa" w:w="1420"/>
            <w:tcBorders>
              <w:start w:sz="4.799999999999727" w:val="single" w:color="#000000"/>
              <w:top w:sz="4.0" w:val="single" w:color="#000000"/>
              <w:end w:sz="4.0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MPC Canton</w:t>
            </w:r>
          </w:p>
        </w:tc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$ 2.26</w:t>
            </w:r>
          </w:p>
        </w:tc>
      </w:tr>
      <w:tr>
        <w:trPr>
          <w:trHeight w:hRule="exact" w:val="250"/>
        </w:trPr>
        <w:tc>
          <w:tcPr>
            <w:tcW w:type="dxa" w:w="662"/>
            <w:tcBorders>
              <w:start w:sz="4.0" w:val="single" w:color="#000000"/>
              <w:top w:sz="4.799999999999727" w:val="single" w:color="#000000"/>
              <w:end w:sz="4.799999999999954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center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1484"/>
            <w:tcBorders>
              <w:start w:sz="4.7999999999999545" w:val="single" w:color="#000000"/>
              <w:top w:sz="4.799999999999727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42" w:val="left"/>
              </w:tabs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20,000 </w:t>
            </w:r>
            <w:r>
              <w:tab/>
            </w: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BPD</w:t>
            </w:r>
          </w:p>
        </w:tc>
        <w:tc>
          <w:tcPr>
            <w:tcW w:type="dxa" w:w="1540"/>
            <w:tcBorders>
              <w:start w:sz="4.0" w:val="single" w:color="#000000"/>
              <w:top w:sz="4.799999999999727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Cadiz/Scio</w:t>
            </w:r>
          </w:p>
        </w:tc>
        <w:tc>
          <w:tcPr>
            <w:tcW w:type="dxa" w:w="1420"/>
            <w:tcBorders>
              <w:start w:sz="4.799999999999727" w:val="single" w:color="#000000"/>
              <w:top w:sz="4.799999999999727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MPC Canton</w:t>
            </w:r>
          </w:p>
        </w:tc>
        <w:tc>
          <w:tcPr>
            <w:tcW w:type="dxa" w:w="822"/>
            <w:tcBorders>
              <w:start w:sz="4.0" w:val="single" w:color="#000000"/>
              <w:top w:sz="4.799999999999727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$ 2.26</w:t>
            </w:r>
          </w:p>
        </w:tc>
      </w:tr>
      <w:tr>
        <w:trPr>
          <w:trHeight w:hRule="exact" w:val="250"/>
        </w:trPr>
        <w:tc>
          <w:tcPr>
            <w:tcW w:type="dxa" w:w="662"/>
            <w:tcBorders>
              <w:start w:sz="4.0" w:val="single" w:color="#000000"/>
              <w:top w:sz="4.0" w:val="single" w:color="#000000"/>
              <w:end w:sz="4.799999999999954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0" w:after="0"/>
              <w:ind w:left="0" w:right="0" w:firstLine="0"/>
              <w:jc w:val="center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tcW w:type="dxa" w:w="1484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42" w:val="left"/>
              </w:tabs>
              <w:autoSpaceDE w:val="0"/>
              <w:widowControl/>
              <w:spacing w:line="162" w:lineRule="exact" w:before="40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20,000 </w:t>
            </w:r>
            <w:r>
              <w:tab/>
            </w: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BPD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0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Cadiz/Scio</w:t>
            </w:r>
          </w:p>
        </w:tc>
        <w:tc>
          <w:tcPr>
            <w:tcW w:type="dxa" w:w="1420"/>
            <w:tcBorders>
              <w:start w:sz="4.799999999999727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0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MPC Canton</w:t>
            </w:r>
          </w:p>
        </w:tc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0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$ 2.26</w:t>
            </w:r>
          </w:p>
        </w:tc>
      </w:tr>
      <w:tr>
        <w:trPr>
          <w:trHeight w:hRule="exact" w:val="248"/>
        </w:trPr>
        <w:tc>
          <w:tcPr>
            <w:tcW w:type="dxa" w:w="662"/>
            <w:tcBorders>
              <w:start w:sz="4.0" w:val="single" w:color="#000000"/>
              <w:top w:sz="4.0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1484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42" w:val="left"/>
              </w:tabs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20,000 </w:t>
            </w:r>
            <w:r>
              <w:tab/>
            </w: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BPD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Cadiz/Scio</w:t>
            </w:r>
          </w:p>
        </w:tc>
        <w:tc>
          <w:tcPr>
            <w:tcW w:type="dxa" w:w="1420"/>
            <w:tcBorders>
              <w:start w:sz="4.799999999999727" w:val="single" w:color="#000000"/>
              <w:top w:sz="4.0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MPC Canton</w:t>
            </w:r>
          </w:p>
        </w:tc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$ 2.26</w:t>
            </w:r>
          </w:p>
        </w:tc>
      </w:tr>
      <w:tr>
        <w:trPr>
          <w:trHeight w:hRule="exact" w:val="250"/>
        </w:trPr>
        <w:tc>
          <w:tcPr>
            <w:tcW w:type="dxa" w:w="662"/>
            <w:tcBorders>
              <w:start w:sz="4.0" w:val="single" w:color="#000000"/>
              <w:top w:sz="4.800000000000182" w:val="single" w:color="#000000"/>
              <w:end w:sz="4.799999999999954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center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tcW w:type="dxa" w:w="1484"/>
            <w:tcBorders>
              <w:start w:sz="4.7999999999999545" w:val="single" w:color="#000000"/>
              <w:top w:sz="4.80000000000018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42" w:val="left"/>
              </w:tabs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20,000 </w:t>
            </w:r>
            <w:r>
              <w:tab/>
            </w: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BPD</w:t>
            </w:r>
          </w:p>
        </w:tc>
        <w:tc>
          <w:tcPr>
            <w:tcW w:type="dxa" w:w="1540"/>
            <w:tcBorders>
              <w:start w:sz="4.0" w:val="single" w:color="#000000"/>
              <w:top w:sz="4.800000000000182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Cadiz/Scio</w:t>
            </w:r>
          </w:p>
        </w:tc>
        <w:tc>
          <w:tcPr>
            <w:tcW w:type="dxa" w:w="1420"/>
            <w:tcBorders>
              <w:start w:sz="4.799999999999727" w:val="single" w:color="#000000"/>
              <w:top w:sz="4.80000000000018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MPC Canton</w:t>
            </w:r>
          </w:p>
        </w:tc>
        <w:tc>
          <w:tcPr>
            <w:tcW w:type="dxa" w:w="822"/>
            <w:tcBorders>
              <w:start w:sz="4.0" w:val="single" w:color="#000000"/>
              <w:top w:sz="4.80000000000018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$ 2.26</w:t>
            </w:r>
          </w:p>
        </w:tc>
      </w:tr>
    </w:tbl>
    <w:p>
      <w:pPr>
        <w:autoSpaceDN w:val="0"/>
        <w:autoSpaceDE w:val="0"/>
        <w:widowControl/>
        <w:spacing w:line="162" w:lineRule="exact" w:before="0" w:after="0"/>
        <w:ind w:left="6" w:right="302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(1) - Assumes shipper transports the same volume on a per day basis each month of the year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 xml:space="preserve">Notes: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Deliveries to Canton will begin in late 2016 and deliveries to other locations will begin in mid-2017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 tariff rate for the first year of movements can be found in Appendix 4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 tariff rate will be adjusted annually in accordance with the standard FERC annual oil pipeline indexing methodology</w:t>
      </w:r>
    </w:p>
    <w:p>
      <w:pPr>
        <w:autoSpaceDN w:val="0"/>
        <w:autoSpaceDE w:val="0"/>
        <w:widowControl/>
        <w:spacing w:line="196" w:lineRule="exact" w:before="372" w:after="0"/>
        <w:ind w:left="3168" w:right="3168" w:firstLine="0"/>
        <w:jc w:val="center"/>
      </w:pPr>
      <w:r>
        <w:rPr>
          <w:w w:val="101.59611701965332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Marathon Pipe Line LLC &amp; Ohio River Pipe Line LLC </w:t>
      </w:r>
      <w:r>
        <w:br/>
      </w:r>
      <w:r>
        <w:rPr>
          <w:w w:val="101.59611701965332"/>
          <w:rFonts w:ascii="TimesNewRomanPSMT" w:hAnsi="TimesNewRomanPSMT" w:eastAsia="TimesNewRomanPSMT"/>
          <w:b w:val="0"/>
          <w:i w:val="0"/>
          <w:color w:val="000000"/>
          <w:sz w:val="16"/>
        </w:rPr>
        <w:t>CONFIDENTIAL AND PROPRIETARY</w:t>
      </w:r>
    </w:p>
    <w:p>
      <w:pPr>
        <w:autoSpaceDN w:val="0"/>
        <w:autoSpaceDE w:val="0"/>
        <w:widowControl/>
        <w:spacing w:line="240" w:lineRule="auto" w:before="26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62" w:right="96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8"/>
        <w:ind w:left="0" w:right="0"/>
      </w:pPr>
    </w:p>
    <w:p>
      <w:pPr>
        <w:autoSpaceDN w:val="0"/>
        <w:tabs>
          <w:tab w:pos="1946" w:val="left"/>
          <w:tab w:pos="9024" w:val="left"/>
        </w:tabs>
        <w:autoSpaceDE w:val="0"/>
        <w:widowControl/>
        <w:spacing w:line="194" w:lineRule="exact" w:before="0" w:after="0"/>
        <w:ind w:left="754" w:right="720" w:firstLine="0"/>
        <w:jc w:val="left"/>
      </w:pP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 xml:space="preserve">(1) </w:t>
      </w:r>
      <w:r>
        <w:rPr>
          <w:w w:val="101.37763484831778"/>
          <w:rFonts w:ascii="TimesNewRomanPS" w:hAnsi="TimesNewRomanPS" w:eastAsia="TimesNewRomanPS"/>
          <w:b/>
          <w:i w:val="0"/>
          <w:color w:val="000000"/>
          <w:sz w:val="31"/>
        </w:rPr>
        <w:t xml:space="preserve">Appendix 5 - Capacity Request Form (CRF) - Ratable Volume </w:t>
      </w:r>
      <w:r>
        <w:tab/>
      </w:r>
      <w:r>
        <w:rPr>
          <w:w w:val="98.04831913539341"/>
          <w:rFonts w:ascii="TimesNewRomanPS" w:hAnsi="TimesNewRomanPS" w:eastAsia="TimesNewRomanPS"/>
          <w:b/>
          <w:i w:val="0"/>
          <w:color w:val="000000"/>
          <w:sz w:val="21"/>
        </w:rPr>
        <w:t>Please complete one form for each product type per delivery location</w:t>
      </w:r>
    </w:p>
    <w:p>
      <w:pPr>
        <w:autoSpaceDN w:val="0"/>
        <w:autoSpaceDE w:val="0"/>
        <w:widowControl/>
        <w:spacing w:line="206" w:lineRule="exact" w:before="184" w:after="0"/>
        <w:ind w:left="0" w:right="0" w:firstLine="0"/>
        <w:jc w:val="center"/>
      </w:pPr>
      <w:r>
        <w:rPr>
          <w:w w:val="98.04831913539341"/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Name of Shipper: </w:t>
      </w:r>
      <w:r>
        <w:rPr>
          <w:w w:val="98.04831913539341"/>
          <w:rFonts w:ascii="TimesNewRomanPSMT" w:hAnsi="TimesNewRomanPSMT" w:eastAsia="TimesNewRomanPSMT"/>
          <w:b w:val="0"/>
          <w:i w:val="0"/>
          <w:color w:val="000000"/>
          <w:sz w:val="21"/>
          <w:u w:val="single"/>
        </w:rPr>
        <w:t>Marathon Petroleum Company LP</w:t>
      </w:r>
    </w:p>
    <w:p>
      <w:pPr>
        <w:autoSpaceDN w:val="0"/>
        <w:autoSpaceDE w:val="0"/>
        <w:widowControl/>
        <w:spacing w:line="206" w:lineRule="exact" w:before="194" w:after="0"/>
        <w:ind w:left="0" w:right="0" w:firstLine="0"/>
        <w:jc w:val="center"/>
      </w:pPr>
      <w:r>
        <w:rPr>
          <w:w w:val="98.04831913539341"/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Term/Service [Priority, (5,10, 15 Year) Non-Priority] </w:t>
      </w:r>
      <w:r>
        <w:rPr>
          <w:w w:val="98.04831913539341"/>
          <w:rFonts w:ascii="TimesNewRomanPSMT" w:hAnsi="TimesNewRomanPSMT" w:eastAsia="TimesNewRomanPSMT"/>
          <w:b w:val="0"/>
          <w:i w:val="0"/>
          <w:color w:val="000000"/>
          <w:sz w:val="21"/>
          <w:u w:val="single"/>
        </w:rPr>
        <w:t>Priority 5 Year</w:t>
      </w:r>
    </w:p>
    <w:p>
      <w:pPr>
        <w:autoSpaceDN w:val="0"/>
        <w:autoSpaceDE w:val="0"/>
        <w:widowControl/>
        <w:spacing w:line="206" w:lineRule="exact" w:before="196" w:after="546"/>
        <w:ind w:left="0" w:right="0" w:firstLine="0"/>
        <w:jc w:val="center"/>
      </w:pPr>
      <w:r>
        <w:rPr>
          <w:w w:val="98.04831913539341"/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Product Type [Condensate, Natural Gasoline, Diluent or Butane]: </w:t>
      </w:r>
      <w:r>
        <w:rPr>
          <w:w w:val="98.04831913539341"/>
          <w:rFonts w:ascii="TimesNewRomanPSMT" w:hAnsi="TimesNewRomanPSMT" w:eastAsia="TimesNewRomanPSMT"/>
          <w:b w:val="0"/>
          <w:i w:val="0"/>
          <w:color w:val="000000"/>
          <w:sz w:val="21"/>
          <w:u w:val="single"/>
        </w:rPr>
        <w:t>Natural Gasoline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16.0000000000002" w:type="dxa"/>
      </w:tblPr>
      <w:tblGrid>
        <w:gridCol w:w="1992"/>
        <w:gridCol w:w="1992"/>
        <w:gridCol w:w="1992"/>
        <w:gridCol w:w="1992"/>
        <w:gridCol w:w="1992"/>
      </w:tblGrid>
      <w:tr>
        <w:trPr>
          <w:trHeight w:hRule="exact" w:val="248"/>
        </w:trPr>
        <w:tc>
          <w:tcPr>
            <w:tcW w:type="dxa" w:w="662"/>
            <w:tcBorders>
              <w:start w:sz="4.0" w:val="single" w:color="#000000"/>
              <w:top w:sz="4.7999999999999545" w:val="single" w:color="#000000"/>
              <w:end w:sz="4.799999999999954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0" w:after="0"/>
              <w:ind w:left="0" w:right="0" w:firstLine="0"/>
              <w:jc w:val="center"/>
            </w:pPr>
            <w:r>
              <w:rPr>
                <w:w w:val="101.59611701965332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Year</w:t>
            </w:r>
          </w:p>
        </w:tc>
        <w:tc>
          <w:tcPr>
            <w:tcW w:type="dxa" w:w="1484"/>
            <w:tcBorders>
              <w:start w:sz="4.7999999999999545" w:val="single" w:color="#000000"/>
              <w:top w:sz="4.79999999999995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0" w:after="0"/>
              <w:ind w:left="0" w:right="0" w:firstLine="0"/>
              <w:jc w:val="center"/>
            </w:pPr>
            <w:r>
              <w:rPr>
                <w:w w:val="101.59611701965332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Desired Volume</w:t>
            </w:r>
          </w:p>
        </w:tc>
        <w:tc>
          <w:tcPr>
            <w:tcW w:type="dxa" w:w="1540"/>
            <w:tcBorders>
              <w:start w:sz="4.0" w:val="single" w:color="#000000"/>
              <w:top w:sz="4.7999999999999545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0" w:after="0"/>
              <w:ind w:left="0" w:right="0" w:firstLine="0"/>
              <w:jc w:val="center"/>
            </w:pPr>
            <w:r>
              <w:rPr>
                <w:w w:val="101.59611701965332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Origination Location </w:t>
            </w:r>
          </w:p>
        </w:tc>
        <w:tc>
          <w:tcPr>
            <w:tcW w:type="dxa" w:w="1420"/>
            <w:tcBorders>
              <w:start w:sz="4.799999999999727" w:val="single" w:color="#000000"/>
              <w:top w:sz="4.79999999999995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0" w:after="0"/>
              <w:ind w:left="0" w:right="0" w:firstLine="0"/>
              <w:jc w:val="left"/>
            </w:pPr>
            <w:r>
              <w:rPr>
                <w:w w:val="101.59611701965332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Delivery Location</w:t>
            </w:r>
          </w:p>
        </w:tc>
        <w:tc>
          <w:tcPr>
            <w:tcW w:type="dxa" w:w="822"/>
            <w:tcBorders>
              <w:start w:sz="4.0" w:val="single" w:color="#000000"/>
              <w:top w:sz="4.79999999999995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0" w:after="0"/>
              <w:ind w:left="0" w:right="0" w:firstLine="0"/>
              <w:jc w:val="center"/>
            </w:pPr>
            <w:r>
              <w:rPr>
                <w:w w:val="101.59611701965332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Rate</w:t>
            </w:r>
          </w:p>
        </w:tc>
      </w:tr>
      <w:tr>
        <w:trPr>
          <w:trHeight w:hRule="exact" w:val="250"/>
        </w:trPr>
        <w:tc>
          <w:tcPr>
            <w:tcW w:type="dxa" w:w="662"/>
            <w:tcBorders>
              <w:start w:sz="4.0" w:val="single" w:color="#000000"/>
              <w:top w:sz="4.0" w:val="single" w:color="#000000"/>
              <w:end w:sz="4.799999999999954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0" w:after="0"/>
              <w:ind w:left="0" w:right="0" w:firstLine="0"/>
              <w:jc w:val="center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484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42" w:val="left"/>
              </w:tabs>
              <w:autoSpaceDE w:val="0"/>
              <w:widowControl/>
              <w:spacing w:line="162" w:lineRule="exact" w:before="40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10 </w:t>
            </w:r>
            <w:r>
              <w:tab/>
            </w: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MBPD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0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Cadiz/Scio</w:t>
            </w:r>
          </w:p>
        </w:tc>
        <w:tc>
          <w:tcPr>
            <w:tcW w:type="dxa" w:w="1420"/>
            <w:tcBorders>
              <w:start w:sz="4.799999999999727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0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Hammond</w:t>
            </w:r>
          </w:p>
        </w:tc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0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$ 6.96</w:t>
            </w:r>
          </w:p>
        </w:tc>
      </w:tr>
      <w:tr>
        <w:trPr>
          <w:trHeight w:hRule="exact" w:val="250"/>
        </w:trPr>
        <w:tc>
          <w:tcPr>
            <w:tcW w:type="dxa" w:w="662"/>
            <w:tcBorders>
              <w:start w:sz="4.0" w:val="single" w:color="#000000"/>
              <w:top w:sz="4.0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center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484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42" w:val="left"/>
              </w:tabs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10 </w:t>
            </w:r>
            <w:r>
              <w:tab/>
            </w: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MBPD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Cadiz/Scio</w:t>
            </w:r>
          </w:p>
        </w:tc>
        <w:tc>
          <w:tcPr>
            <w:tcW w:type="dxa" w:w="1420"/>
            <w:tcBorders>
              <w:start w:sz="4.799999999999727" w:val="single" w:color="#000000"/>
              <w:top w:sz="4.0" w:val="single" w:color="#000000"/>
              <w:end w:sz="4.0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Hammond</w:t>
            </w:r>
          </w:p>
        </w:tc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$ 6.96</w:t>
            </w:r>
          </w:p>
        </w:tc>
      </w:tr>
      <w:tr>
        <w:trPr>
          <w:trHeight w:hRule="exact" w:val="250"/>
        </w:trPr>
        <w:tc>
          <w:tcPr>
            <w:tcW w:type="dxa" w:w="662"/>
            <w:tcBorders>
              <w:start w:sz="4.0" w:val="single" w:color="#000000"/>
              <w:top w:sz="4.7999999999999545" w:val="single" w:color="#000000"/>
              <w:end w:sz="4.799999999999954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center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484"/>
            <w:tcBorders>
              <w:start w:sz="4.7999999999999545" w:val="single" w:color="#000000"/>
              <w:top w:sz="4.79999999999995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42" w:val="left"/>
              </w:tabs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10 </w:t>
            </w:r>
            <w:r>
              <w:tab/>
            </w: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MBPD </w:t>
            </w:r>
          </w:p>
        </w:tc>
        <w:tc>
          <w:tcPr>
            <w:tcW w:type="dxa" w:w="1540"/>
            <w:tcBorders>
              <w:start w:sz="4.0" w:val="single" w:color="#000000"/>
              <w:top w:sz="4.7999999999999545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Cadiz/Scio</w:t>
            </w:r>
          </w:p>
        </w:tc>
        <w:tc>
          <w:tcPr>
            <w:tcW w:type="dxa" w:w="1420"/>
            <w:tcBorders>
              <w:start w:sz="4.799999999999727" w:val="single" w:color="#000000"/>
              <w:top w:sz="4.79999999999995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Hammond</w:t>
            </w:r>
          </w:p>
        </w:tc>
        <w:tc>
          <w:tcPr>
            <w:tcW w:type="dxa" w:w="822"/>
            <w:tcBorders>
              <w:start w:sz="4.0" w:val="single" w:color="#000000"/>
              <w:top w:sz="4.79999999999995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$ 6.96</w:t>
            </w:r>
          </w:p>
        </w:tc>
      </w:tr>
      <w:tr>
        <w:trPr>
          <w:trHeight w:hRule="exact" w:val="248"/>
        </w:trPr>
        <w:tc>
          <w:tcPr>
            <w:tcW w:type="dxa" w:w="662"/>
            <w:tcBorders>
              <w:start w:sz="4.0" w:val="single" w:color="#000000"/>
              <w:top w:sz="4.0" w:val="single" w:color="#000000"/>
              <w:end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center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484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42" w:val="left"/>
              </w:tabs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10 </w:t>
            </w:r>
            <w:r>
              <w:tab/>
            </w: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MBPD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799999999999727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Cadiz/Scio</w:t>
            </w:r>
          </w:p>
        </w:tc>
        <w:tc>
          <w:tcPr>
            <w:tcW w:type="dxa" w:w="1420"/>
            <w:tcBorders>
              <w:start w:sz="4.799999999999727" w:val="single" w:color="#000000"/>
              <w:top w:sz="4.0" w:val="single" w:color="#000000"/>
              <w:end w:sz="4.0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Hammond</w:t>
            </w:r>
          </w:p>
        </w:tc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$ 6.96</w:t>
            </w:r>
          </w:p>
        </w:tc>
      </w:tr>
      <w:tr>
        <w:trPr>
          <w:trHeight w:hRule="exact" w:val="248"/>
        </w:trPr>
        <w:tc>
          <w:tcPr>
            <w:tcW w:type="dxa" w:w="662"/>
            <w:tcBorders>
              <w:start w:sz="4.0" w:val="single" w:color="#000000"/>
              <w:top w:sz="4.7999999999999545" w:val="single" w:color="#000000"/>
              <w:end w:sz="4.799999999999954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center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484"/>
            <w:tcBorders>
              <w:start w:sz="4.7999999999999545" w:val="single" w:color="#000000"/>
              <w:top w:sz="4.79999999999995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42" w:val="left"/>
              </w:tabs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10 </w:t>
            </w:r>
            <w:r>
              <w:tab/>
            </w: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MBPD </w:t>
            </w:r>
          </w:p>
        </w:tc>
        <w:tc>
          <w:tcPr>
            <w:tcW w:type="dxa" w:w="1540"/>
            <w:tcBorders>
              <w:start w:sz="4.0" w:val="single" w:color="#000000"/>
              <w:top w:sz="4.7999999999999545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Cadiz/Scio</w:t>
            </w:r>
          </w:p>
        </w:tc>
        <w:tc>
          <w:tcPr>
            <w:tcW w:type="dxa" w:w="1420"/>
            <w:tcBorders>
              <w:start w:sz="4.799999999999727" w:val="single" w:color="#000000"/>
              <w:top w:sz="4.79999999999995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Hammond</w:t>
            </w:r>
          </w:p>
        </w:tc>
        <w:tc>
          <w:tcPr>
            <w:tcW w:type="dxa" w:w="822"/>
            <w:tcBorders>
              <w:start w:sz="4.0" w:val="single" w:color="#000000"/>
              <w:top w:sz="4.79999999999995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$ 6.96</w:t>
            </w:r>
          </w:p>
        </w:tc>
      </w:tr>
      <w:tr>
        <w:trPr>
          <w:trHeight w:hRule="exact" w:val="250"/>
        </w:trPr>
        <w:tc>
          <w:tcPr>
            <w:tcW w:type="dxa" w:w="662"/>
            <w:tcBorders>
              <w:start w:sz="4.0" w:val="single" w:color="#000000"/>
              <w:top w:sz="4.0" w:val="single" w:color="#000000"/>
              <w:end w:sz="4.799999999999954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0" w:after="0"/>
              <w:ind w:left="0" w:right="0" w:firstLine="0"/>
              <w:jc w:val="center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484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42" w:val="left"/>
              </w:tabs>
              <w:autoSpaceDE w:val="0"/>
              <w:widowControl/>
              <w:spacing w:line="162" w:lineRule="exact" w:before="40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0 </w:t>
            </w:r>
            <w:r>
              <w:tab/>
            </w: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MBPD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0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Cadiz/Scio</w:t>
            </w:r>
          </w:p>
        </w:tc>
        <w:tc>
          <w:tcPr>
            <w:tcW w:type="dxa" w:w="1420"/>
            <w:tcBorders>
              <w:start w:sz="4.799999999999727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0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Hammond</w:t>
            </w:r>
          </w:p>
        </w:tc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0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$ 6.96</w:t>
            </w:r>
          </w:p>
        </w:tc>
      </w:tr>
      <w:tr>
        <w:trPr>
          <w:trHeight w:hRule="exact" w:val="250"/>
        </w:trPr>
        <w:tc>
          <w:tcPr>
            <w:tcW w:type="dxa" w:w="662"/>
            <w:tcBorders>
              <w:start w:sz="4.0" w:val="single" w:color="#000000"/>
              <w:top w:sz="4.0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484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42" w:val="left"/>
              </w:tabs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0 </w:t>
            </w:r>
            <w:r>
              <w:tab/>
            </w: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MBPD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Cadiz/Scio</w:t>
            </w:r>
          </w:p>
        </w:tc>
        <w:tc>
          <w:tcPr>
            <w:tcW w:type="dxa" w:w="1420"/>
            <w:tcBorders>
              <w:start w:sz="4.799999999999727" w:val="single" w:color="#000000"/>
              <w:top w:sz="4.0" w:val="single" w:color="#000000"/>
              <w:end w:sz="4.0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Hammond</w:t>
            </w:r>
          </w:p>
        </w:tc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$ 6.96</w:t>
            </w:r>
          </w:p>
        </w:tc>
      </w:tr>
      <w:tr>
        <w:trPr>
          <w:trHeight w:hRule="exact" w:val="250"/>
        </w:trPr>
        <w:tc>
          <w:tcPr>
            <w:tcW w:type="dxa" w:w="662"/>
            <w:tcBorders>
              <w:start w:sz="4.0" w:val="single" w:color="#000000"/>
              <w:top w:sz="4.799999999999727" w:val="single" w:color="#000000"/>
              <w:end w:sz="4.799999999999954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center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484"/>
            <w:tcBorders>
              <w:start w:sz="4.7999999999999545" w:val="single" w:color="#000000"/>
              <w:top w:sz="4.799999999999727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42" w:val="left"/>
              </w:tabs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0 </w:t>
            </w:r>
            <w:r>
              <w:tab/>
            </w: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MBPD </w:t>
            </w:r>
          </w:p>
        </w:tc>
        <w:tc>
          <w:tcPr>
            <w:tcW w:type="dxa" w:w="1540"/>
            <w:tcBorders>
              <w:start w:sz="4.0" w:val="single" w:color="#000000"/>
              <w:top w:sz="4.799999999999727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Cadiz/Scio</w:t>
            </w:r>
          </w:p>
        </w:tc>
        <w:tc>
          <w:tcPr>
            <w:tcW w:type="dxa" w:w="1420"/>
            <w:tcBorders>
              <w:start w:sz="4.799999999999727" w:val="single" w:color="#000000"/>
              <w:top w:sz="4.799999999999727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Hammond</w:t>
            </w:r>
          </w:p>
        </w:tc>
        <w:tc>
          <w:tcPr>
            <w:tcW w:type="dxa" w:w="822"/>
            <w:tcBorders>
              <w:start w:sz="4.0" w:val="single" w:color="#000000"/>
              <w:top w:sz="4.799999999999727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$ 6.96</w:t>
            </w:r>
          </w:p>
        </w:tc>
      </w:tr>
      <w:tr>
        <w:trPr>
          <w:trHeight w:hRule="exact" w:val="248"/>
        </w:trPr>
        <w:tc>
          <w:tcPr>
            <w:tcW w:type="dxa" w:w="662"/>
            <w:tcBorders>
              <w:start w:sz="4.0" w:val="single" w:color="#000000"/>
              <w:top w:sz="4.0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center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484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42" w:val="left"/>
              </w:tabs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0 </w:t>
            </w:r>
            <w:r>
              <w:tab/>
            </w: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MBPD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Cadiz/Scio</w:t>
            </w:r>
          </w:p>
        </w:tc>
        <w:tc>
          <w:tcPr>
            <w:tcW w:type="dxa" w:w="1420"/>
            <w:tcBorders>
              <w:start w:sz="4.799999999999727" w:val="single" w:color="#000000"/>
              <w:top w:sz="4.0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Hammond</w:t>
            </w:r>
          </w:p>
        </w:tc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$ 6.96</w:t>
            </w:r>
          </w:p>
        </w:tc>
      </w:tr>
      <w:tr>
        <w:trPr>
          <w:trHeight w:hRule="exact" w:val="250"/>
        </w:trPr>
        <w:tc>
          <w:tcPr>
            <w:tcW w:type="dxa" w:w="662"/>
            <w:tcBorders>
              <w:start w:sz="4.0" w:val="single" w:color="#000000"/>
              <w:top w:sz="4.800000000000182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center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484"/>
            <w:tcBorders>
              <w:start w:sz="4.7999999999999545" w:val="single" w:color="#000000"/>
              <w:top w:sz="4.800000000000182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42" w:val="left"/>
              </w:tabs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0 </w:t>
            </w:r>
            <w:r>
              <w:tab/>
            </w: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MBPD </w:t>
            </w:r>
          </w:p>
        </w:tc>
        <w:tc>
          <w:tcPr>
            <w:tcW w:type="dxa" w:w="1540"/>
            <w:tcBorders>
              <w:start w:sz="4.0" w:val="single" w:color="#000000"/>
              <w:top w:sz="4.800000000000182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Cadiz/Scio</w:t>
            </w:r>
          </w:p>
        </w:tc>
        <w:tc>
          <w:tcPr>
            <w:tcW w:type="dxa" w:w="1420"/>
            <w:tcBorders>
              <w:start w:sz="4.799999999999727" w:val="single" w:color="#000000"/>
              <w:top w:sz="4.800000000000182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Hammond</w:t>
            </w:r>
          </w:p>
        </w:tc>
        <w:tc>
          <w:tcPr>
            <w:tcW w:type="dxa" w:w="822"/>
            <w:tcBorders>
              <w:start w:sz="4.0" w:val="single" w:color="#000000"/>
              <w:top w:sz="4.800000000000182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$ 6.96</w:t>
            </w:r>
          </w:p>
        </w:tc>
      </w:tr>
      <w:tr>
        <w:trPr>
          <w:trHeight w:hRule="exact" w:val="248"/>
        </w:trPr>
        <w:tc>
          <w:tcPr>
            <w:tcW w:type="dxa" w:w="662"/>
            <w:tcBorders>
              <w:start w:sz="4.0" w:val="single" w:color="#000000"/>
              <w:top w:sz="4.800000000000182" w:val="single" w:color="#000000"/>
              <w:end w:sz="4.799999999999954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center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484"/>
            <w:tcBorders>
              <w:start w:sz="4.7999999999999545" w:val="single" w:color="#000000"/>
              <w:top w:sz="4.80000000000018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42" w:val="left"/>
              </w:tabs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0 </w:t>
            </w:r>
            <w:r>
              <w:tab/>
            </w: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MBPD </w:t>
            </w:r>
          </w:p>
        </w:tc>
        <w:tc>
          <w:tcPr>
            <w:tcW w:type="dxa" w:w="1540"/>
            <w:tcBorders>
              <w:start w:sz="4.0" w:val="single" w:color="#000000"/>
              <w:top w:sz="4.800000000000182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Cadiz/Scio</w:t>
            </w:r>
          </w:p>
        </w:tc>
        <w:tc>
          <w:tcPr>
            <w:tcW w:type="dxa" w:w="1420"/>
            <w:tcBorders>
              <w:start w:sz="4.799999999999727" w:val="single" w:color="#000000"/>
              <w:top w:sz="4.80000000000018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Hammond</w:t>
            </w:r>
          </w:p>
        </w:tc>
        <w:tc>
          <w:tcPr>
            <w:tcW w:type="dxa" w:w="822"/>
            <w:tcBorders>
              <w:start w:sz="4.0" w:val="single" w:color="#000000"/>
              <w:top w:sz="4.80000000000018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$ 6.96</w:t>
            </w:r>
          </w:p>
        </w:tc>
      </w:tr>
      <w:tr>
        <w:trPr>
          <w:trHeight w:hRule="exact" w:val="250"/>
        </w:trPr>
        <w:tc>
          <w:tcPr>
            <w:tcW w:type="dxa" w:w="662"/>
            <w:tcBorders>
              <w:start w:sz="4.0" w:val="single" w:color="#000000"/>
              <w:top w:sz="4.0" w:val="single" w:color="#000000"/>
              <w:end w:sz="4.7999999999999545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center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1484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42" w:val="left"/>
              </w:tabs>
              <w:autoSpaceDE w:val="0"/>
              <w:widowControl/>
              <w:spacing w:line="164" w:lineRule="exact" w:before="40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0 </w:t>
            </w:r>
            <w:r>
              <w:tab/>
            </w: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MBPD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Cadiz/Scio</w:t>
            </w:r>
          </w:p>
        </w:tc>
        <w:tc>
          <w:tcPr>
            <w:tcW w:type="dxa" w:w="1420"/>
            <w:tcBorders>
              <w:start w:sz="4.799999999999727" w:val="single" w:color="#000000"/>
              <w:top w:sz="4.0" w:val="single" w:color="#000000"/>
              <w:end w:sz="4.0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Hammond</w:t>
            </w:r>
          </w:p>
        </w:tc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$ 6.96</w:t>
            </w:r>
          </w:p>
        </w:tc>
      </w:tr>
      <w:tr>
        <w:trPr>
          <w:trHeight w:hRule="exact" w:val="250"/>
        </w:trPr>
        <w:tc>
          <w:tcPr>
            <w:tcW w:type="dxa" w:w="662"/>
            <w:tcBorders>
              <w:start w:sz="4.0" w:val="single" w:color="#000000"/>
              <w:top w:sz="4.799999999999727" w:val="single" w:color="#000000"/>
              <w:end w:sz="4.799999999999954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center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tcW w:type="dxa" w:w="1484"/>
            <w:tcBorders>
              <w:start w:sz="4.7999999999999545" w:val="single" w:color="#000000"/>
              <w:top w:sz="4.799999999999727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42" w:val="left"/>
              </w:tabs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0 </w:t>
            </w:r>
            <w:r>
              <w:tab/>
            </w: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MBPD </w:t>
            </w:r>
          </w:p>
        </w:tc>
        <w:tc>
          <w:tcPr>
            <w:tcW w:type="dxa" w:w="1540"/>
            <w:tcBorders>
              <w:start w:sz="4.0" w:val="single" w:color="#000000"/>
              <w:top w:sz="4.799999999999727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Cadiz/Scio</w:t>
            </w:r>
          </w:p>
        </w:tc>
        <w:tc>
          <w:tcPr>
            <w:tcW w:type="dxa" w:w="1420"/>
            <w:tcBorders>
              <w:start w:sz="4.799999999999727" w:val="single" w:color="#000000"/>
              <w:top w:sz="4.799999999999727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Hammond</w:t>
            </w:r>
          </w:p>
        </w:tc>
        <w:tc>
          <w:tcPr>
            <w:tcW w:type="dxa" w:w="822"/>
            <w:tcBorders>
              <w:start w:sz="4.0" w:val="single" w:color="#000000"/>
              <w:top w:sz="4.799999999999727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$ 6.96</w:t>
            </w:r>
          </w:p>
        </w:tc>
      </w:tr>
      <w:tr>
        <w:trPr>
          <w:trHeight w:hRule="exact" w:val="250"/>
        </w:trPr>
        <w:tc>
          <w:tcPr>
            <w:tcW w:type="dxa" w:w="662"/>
            <w:tcBorders>
              <w:start w:sz="4.0" w:val="single" w:color="#000000"/>
              <w:top w:sz="4.0" w:val="single" w:color="#000000"/>
              <w:end w:sz="4.799999999999954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0" w:after="0"/>
              <w:ind w:left="0" w:right="0" w:firstLine="0"/>
              <w:jc w:val="center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1484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42" w:val="left"/>
              </w:tabs>
              <w:autoSpaceDE w:val="0"/>
              <w:widowControl/>
              <w:spacing w:line="162" w:lineRule="exact" w:before="40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0 </w:t>
            </w:r>
            <w:r>
              <w:tab/>
            </w: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MBPD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79999999999972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0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Cadiz/Scio</w:t>
            </w:r>
          </w:p>
        </w:tc>
        <w:tc>
          <w:tcPr>
            <w:tcW w:type="dxa" w:w="1420"/>
            <w:tcBorders>
              <w:start w:sz="4.799999999999727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0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Hammond</w:t>
            </w:r>
          </w:p>
        </w:tc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40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$ 6.96</w:t>
            </w:r>
          </w:p>
        </w:tc>
      </w:tr>
      <w:tr>
        <w:trPr>
          <w:trHeight w:hRule="exact" w:val="248"/>
        </w:trPr>
        <w:tc>
          <w:tcPr>
            <w:tcW w:type="dxa" w:w="662"/>
            <w:tcBorders>
              <w:start w:sz="4.0" w:val="single" w:color="#000000"/>
              <w:top w:sz="4.0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tcW w:type="dxa" w:w="1484"/>
            <w:tcBorders>
              <w:start w:sz="4.7999999999999545" w:val="single" w:color="#000000"/>
              <w:top w:sz="4.0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42" w:val="left"/>
              </w:tabs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0 </w:t>
            </w:r>
            <w:r>
              <w:tab/>
            </w: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MBPD </w:t>
            </w:r>
          </w:p>
        </w:tc>
        <w:tc>
          <w:tcPr>
            <w:tcW w:type="dxa" w:w="1540"/>
            <w:tcBorders>
              <w:start w:sz="4.0" w:val="single" w:color="#000000"/>
              <w:top w:sz="4.0" w:val="single" w:color="#000000"/>
              <w:end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Cadiz/Scio</w:t>
            </w:r>
          </w:p>
        </w:tc>
        <w:tc>
          <w:tcPr>
            <w:tcW w:type="dxa" w:w="1420"/>
            <w:tcBorders>
              <w:start w:sz="4.799999999999727" w:val="single" w:color="#000000"/>
              <w:top w:sz="4.0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Hammond</w:t>
            </w:r>
          </w:p>
        </w:tc>
        <w:tc>
          <w:tcPr>
            <w:tcW w:type="dxa" w:w="822"/>
            <w:tcBorders>
              <w:start w:sz="4.0" w:val="single" w:color="#000000"/>
              <w:top w:sz="4.0" w:val="single" w:color="#000000"/>
              <w:end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1.59611701965332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$ 6.96</w:t>
            </w:r>
          </w:p>
        </w:tc>
      </w:tr>
    </w:tbl>
    <w:p>
      <w:pPr>
        <w:autoSpaceDN w:val="0"/>
        <w:autoSpaceDE w:val="0"/>
        <w:widowControl/>
        <w:spacing w:line="162" w:lineRule="exact" w:before="0" w:after="0"/>
        <w:ind w:left="6" w:right="302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(1) - Assumes shipper transports the same volume on a per day basis each month of the year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 xml:space="preserve">Notes: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Deliveries to Canton will begin in late 2016 and deliveries to other locations will begin in mid-2017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 tariff rate for the first year of movements can be found in Appendix 4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 tariff rate will be adjusted annually in accordance with the standard FERC annual oil pipeline indexing methodology</w:t>
      </w:r>
    </w:p>
    <w:p>
      <w:pPr>
        <w:autoSpaceDN w:val="0"/>
        <w:autoSpaceDE w:val="0"/>
        <w:widowControl/>
        <w:spacing w:line="196" w:lineRule="exact" w:before="308" w:after="0"/>
        <w:ind w:left="3168" w:right="3168" w:firstLine="0"/>
        <w:jc w:val="center"/>
      </w:pPr>
      <w:r>
        <w:rPr>
          <w:w w:val="101.59611701965332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Marathon Pipe Line LLC &amp; Ohio River Pipe Line LLC </w:t>
      </w:r>
      <w:r>
        <w:br/>
      </w:r>
      <w:r>
        <w:rPr>
          <w:w w:val="101.59611701965332"/>
          <w:rFonts w:ascii="TimesNewRomanPSMT" w:hAnsi="TimesNewRomanPSMT" w:eastAsia="TimesNewRomanPSMT"/>
          <w:b w:val="0"/>
          <w:i w:val="0"/>
          <w:color w:val="000000"/>
          <w:sz w:val="16"/>
        </w:rPr>
        <w:t>CONFIDENTIAL AND PROPRIETARY</w:t>
      </w:r>
    </w:p>
    <w:p>
      <w:pPr>
        <w:autoSpaceDN w:val="0"/>
        <w:autoSpaceDE w:val="0"/>
        <w:widowControl/>
        <w:spacing w:line="240" w:lineRule="auto" w:before="23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66" w:right="96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626110</wp:posOffset>
            </wp:positionH>
            <wp:positionV relativeFrom="page">
              <wp:posOffset>1982470</wp:posOffset>
            </wp:positionV>
            <wp:extent cx="6358890" cy="2346733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358890" cy="234673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3111500</wp:posOffset>
            </wp:positionH>
            <wp:positionV relativeFrom="page">
              <wp:posOffset>4178300</wp:posOffset>
            </wp:positionV>
            <wp:extent cx="38100" cy="381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6604000</wp:posOffset>
            </wp:positionH>
            <wp:positionV relativeFrom="page">
              <wp:posOffset>4051300</wp:posOffset>
            </wp:positionV>
            <wp:extent cx="38100" cy="381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6121400</wp:posOffset>
            </wp:positionH>
            <wp:positionV relativeFrom="page">
              <wp:posOffset>4051300</wp:posOffset>
            </wp:positionV>
            <wp:extent cx="38100" cy="381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4102100</wp:posOffset>
            </wp:positionV>
            <wp:extent cx="38100" cy="381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4102100</wp:posOffset>
            </wp:positionV>
            <wp:extent cx="38100" cy="381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1625600</wp:posOffset>
            </wp:positionH>
            <wp:positionV relativeFrom="page">
              <wp:posOffset>3822700</wp:posOffset>
            </wp:positionV>
            <wp:extent cx="38100" cy="508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3759200</wp:posOffset>
            </wp:positionV>
            <wp:extent cx="38100" cy="381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5181600</wp:posOffset>
            </wp:positionH>
            <wp:positionV relativeFrom="page">
              <wp:posOffset>3721100</wp:posOffset>
            </wp:positionV>
            <wp:extent cx="50800" cy="381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5346700</wp:posOffset>
            </wp:positionH>
            <wp:positionV relativeFrom="page">
              <wp:posOffset>3657600</wp:posOffset>
            </wp:positionV>
            <wp:extent cx="38100" cy="381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2298700</wp:posOffset>
            </wp:positionH>
            <wp:positionV relativeFrom="page">
              <wp:posOffset>3619500</wp:posOffset>
            </wp:positionV>
            <wp:extent cx="38100" cy="381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3683000</wp:posOffset>
            </wp:positionV>
            <wp:extent cx="38100" cy="381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3619500</wp:posOffset>
            </wp:positionV>
            <wp:extent cx="38100" cy="381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3378200</wp:posOffset>
            </wp:positionV>
            <wp:extent cx="38100" cy="381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6794500</wp:posOffset>
            </wp:positionH>
            <wp:positionV relativeFrom="page">
              <wp:posOffset>3289300</wp:posOffset>
            </wp:positionV>
            <wp:extent cx="38100" cy="381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4876800</wp:posOffset>
            </wp:positionH>
            <wp:positionV relativeFrom="page">
              <wp:posOffset>3289300</wp:posOffset>
            </wp:positionV>
            <wp:extent cx="38100" cy="3810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3619500</wp:posOffset>
            </wp:positionH>
            <wp:positionV relativeFrom="page">
              <wp:posOffset>3073400</wp:posOffset>
            </wp:positionV>
            <wp:extent cx="38100" cy="381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3073400</wp:posOffset>
            </wp:positionV>
            <wp:extent cx="38100" cy="3810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5194300</wp:posOffset>
            </wp:positionH>
            <wp:positionV relativeFrom="page">
              <wp:posOffset>3022600</wp:posOffset>
            </wp:positionV>
            <wp:extent cx="38100" cy="381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4876800</wp:posOffset>
            </wp:positionH>
            <wp:positionV relativeFrom="page">
              <wp:posOffset>3022600</wp:posOffset>
            </wp:positionV>
            <wp:extent cx="38100" cy="3810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2565400</wp:posOffset>
            </wp:positionH>
            <wp:positionV relativeFrom="page">
              <wp:posOffset>2387600</wp:posOffset>
            </wp:positionV>
            <wp:extent cx="38100" cy="381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2476500</wp:posOffset>
            </wp:positionV>
            <wp:extent cx="38100" cy="5080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2273300</wp:posOffset>
            </wp:positionV>
            <wp:extent cx="38100" cy="3810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2959100</wp:posOffset>
            </wp:positionH>
            <wp:positionV relativeFrom="page">
              <wp:posOffset>2336800</wp:posOffset>
            </wp:positionV>
            <wp:extent cx="38100" cy="3810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711200</wp:posOffset>
            </wp:positionH>
            <wp:positionV relativeFrom="page">
              <wp:posOffset>2336800</wp:posOffset>
            </wp:positionV>
            <wp:extent cx="38100" cy="381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2197100</wp:posOffset>
            </wp:positionV>
            <wp:extent cx="50800" cy="3810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2032000</wp:posOffset>
            </wp:positionH>
            <wp:positionV relativeFrom="page">
              <wp:posOffset>2146300</wp:posOffset>
            </wp:positionV>
            <wp:extent cx="38100" cy="3810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46" w:val="left"/>
          <w:tab w:pos="9358" w:val="left"/>
        </w:tabs>
        <w:autoSpaceDE w:val="0"/>
        <w:widowControl/>
        <w:spacing w:line="194" w:lineRule="exact" w:before="0" w:after="0"/>
        <w:ind w:left="430" w:right="432" w:firstLine="0"/>
        <w:jc w:val="left"/>
      </w:pP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 xml:space="preserve">(2) </w:t>
      </w:r>
      <w:r>
        <w:rPr>
          <w:w w:val="101.37763484831778"/>
          <w:rFonts w:ascii="TimesNewRomanPS" w:hAnsi="TimesNewRomanPS" w:eastAsia="TimesNewRomanPS"/>
          <w:b/>
          <w:i w:val="0"/>
          <w:color w:val="000000"/>
          <w:sz w:val="31"/>
        </w:rPr>
        <w:t xml:space="preserve">Appendix 5 - Capacity Request Form (CRF) - Non-Ratable Volume </w:t>
      </w:r>
      <w:r>
        <w:tab/>
      </w:r>
      <w:r>
        <w:rPr>
          <w:w w:val="98.04831913539341"/>
          <w:rFonts w:ascii="TimesNewRomanPS" w:hAnsi="TimesNewRomanPS" w:eastAsia="TimesNewRomanPS"/>
          <w:b/>
          <w:i w:val="0"/>
          <w:color w:val="000000"/>
          <w:sz w:val="21"/>
        </w:rPr>
        <w:t>Please complete one form for each product type per delivery location</w:t>
      </w:r>
    </w:p>
    <w:p>
      <w:pPr>
        <w:autoSpaceDN w:val="0"/>
        <w:autoSpaceDE w:val="0"/>
        <w:widowControl/>
        <w:spacing w:line="206" w:lineRule="exact" w:before="184" w:after="0"/>
        <w:ind w:left="0" w:right="0" w:firstLine="0"/>
        <w:jc w:val="center"/>
      </w:pPr>
      <w:r>
        <w:rPr>
          <w:w w:val="98.04831913539341"/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Name of Shipper: </w:t>
      </w:r>
      <w:r>
        <w:rPr>
          <w:w w:val="98.04831913539341"/>
          <w:rFonts w:ascii="TimesNewRomanPSMT" w:hAnsi="TimesNewRomanPSMT" w:eastAsia="TimesNewRomanPSMT"/>
          <w:b w:val="0"/>
          <w:i w:val="0"/>
          <w:color w:val="000000"/>
          <w:sz w:val="21"/>
          <w:u w:val="single"/>
        </w:rPr>
        <w:t>Marathon Petroleum Company LP</w:t>
      </w:r>
    </w:p>
    <w:p>
      <w:pPr>
        <w:autoSpaceDN w:val="0"/>
        <w:autoSpaceDE w:val="0"/>
        <w:widowControl/>
        <w:spacing w:line="206" w:lineRule="exact" w:before="194" w:after="0"/>
        <w:ind w:left="0" w:right="0" w:firstLine="0"/>
        <w:jc w:val="center"/>
      </w:pPr>
      <w:r>
        <w:rPr>
          <w:w w:val="98.04831913539341"/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Term/Service [Priority, (5,10, 15 Year) Non-Priority] </w:t>
      </w:r>
      <w:r>
        <w:rPr>
          <w:w w:val="98.04831913539341"/>
          <w:rFonts w:ascii="TimesNewRomanPSMT" w:hAnsi="TimesNewRomanPSMT" w:eastAsia="TimesNewRomanPSMT"/>
          <w:b w:val="0"/>
          <w:i w:val="0"/>
          <w:color w:val="000000"/>
          <w:sz w:val="21"/>
          <w:u w:val="single"/>
        </w:rPr>
        <w:t>Priority 5 Year</w:t>
      </w:r>
    </w:p>
    <w:p>
      <w:pPr>
        <w:autoSpaceDN w:val="0"/>
        <w:autoSpaceDE w:val="0"/>
        <w:widowControl/>
        <w:spacing w:line="206" w:lineRule="exact" w:before="196" w:after="0"/>
        <w:ind w:left="0" w:right="0" w:firstLine="0"/>
        <w:jc w:val="center"/>
      </w:pPr>
      <w:r>
        <w:rPr>
          <w:w w:val="98.04831913539341"/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Product Type [Condensate, Natural Gasoline, Diluent or Butane]: </w:t>
      </w:r>
      <w:r>
        <w:rPr>
          <w:w w:val="98.04831913539341"/>
          <w:rFonts w:ascii="TimesNewRomanPSMT" w:hAnsi="TimesNewRomanPSMT" w:eastAsia="TimesNewRomanPSMT"/>
          <w:b w:val="0"/>
          <w:i w:val="0"/>
          <w:color w:val="000000"/>
          <w:sz w:val="21"/>
          <w:u w:val="single"/>
        </w:rPr>
        <w:t>Normal Butane</w:t>
      </w:r>
    </w:p>
    <w:p>
      <w:pPr>
        <w:autoSpaceDN w:val="0"/>
        <w:autoSpaceDE w:val="0"/>
        <w:widowControl/>
        <w:spacing w:line="162" w:lineRule="exact" w:before="3712" w:after="0"/>
        <w:ind w:left="6" w:right="302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(2) - Assumes shipper transports a different volume on a per day basis each month of the year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 xml:space="preserve">Notes: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Deliveries to Canton will begin in late 2016 and deliveries to other locations will begin in mid-2017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 tariff rate for the first year of movements can be found in Appendix 4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 tariff rate will be adjusted annually in accordance with the standard FERC annual oil pipeline indexing methodology</w:t>
      </w:r>
    </w:p>
    <w:p>
      <w:pPr>
        <w:autoSpaceDN w:val="0"/>
        <w:autoSpaceDE w:val="0"/>
        <w:widowControl/>
        <w:spacing w:line="196" w:lineRule="exact" w:before="308" w:after="0"/>
        <w:ind w:left="3168" w:right="3168" w:firstLine="0"/>
        <w:jc w:val="center"/>
      </w:pPr>
      <w:r>
        <w:rPr>
          <w:w w:val="101.59611701965332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Marathon Pipe Line LLC &amp; Ohio River Pipe Line LLC </w:t>
      </w:r>
      <w:r>
        <w:br/>
      </w:r>
      <w:r>
        <w:rPr>
          <w:w w:val="101.59611701965332"/>
          <w:rFonts w:ascii="TimesNewRomanPSMT" w:hAnsi="TimesNewRomanPSMT" w:eastAsia="TimesNewRomanPSMT"/>
          <w:b w:val="0"/>
          <w:i w:val="0"/>
          <w:color w:val="000000"/>
          <w:sz w:val="16"/>
        </w:rPr>
        <w:t>CONFIDENTIAL AND PROPRIETARY</w:t>
      </w:r>
    </w:p>
    <w:p>
      <w:pPr>
        <w:autoSpaceDN w:val="0"/>
        <w:autoSpaceDE w:val="0"/>
        <w:widowControl/>
        <w:spacing w:line="240" w:lineRule="auto" w:before="45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66" w:right="96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626110</wp:posOffset>
            </wp:positionH>
            <wp:positionV relativeFrom="page">
              <wp:posOffset>1974850</wp:posOffset>
            </wp:positionV>
            <wp:extent cx="6358890" cy="2332969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358890" cy="233296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4165600</wp:posOffset>
            </wp:positionV>
            <wp:extent cx="63500" cy="3810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927100</wp:posOffset>
            </wp:positionH>
            <wp:positionV relativeFrom="page">
              <wp:posOffset>4165600</wp:posOffset>
            </wp:positionV>
            <wp:extent cx="38100" cy="3810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4495800</wp:posOffset>
            </wp:positionH>
            <wp:positionV relativeFrom="page">
              <wp:posOffset>4051300</wp:posOffset>
            </wp:positionV>
            <wp:extent cx="38100" cy="3810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4470400</wp:posOffset>
            </wp:positionH>
            <wp:positionV relativeFrom="page">
              <wp:posOffset>4051300</wp:posOffset>
            </wp:positionV>
            <wp:extent cx="38100" cy="3810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4483100</wp:posOffset>
            </wp:positionH>
            <wp:positionV relativeFrom="page">
              <wp:posOffset>4025900</wp:posOffset>
            </wp:positionV>
            <wp:extent cx="38100" cy="5080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4216400</wp:posOffset>
            </wp:positionH>
            <wp:positionV relativeFrom="page">
              <wp:posOffset>4025900</wp:posOffset>
            </wp:positionV>
            <wp:extent cx="38100" cy="5080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4025900</wp:posOffset>
            </wp:positionV>
            <wp:extent cx="38100" cy="3810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6604000</wp:posOffset>
            </wp:positionH>
            <wp:positionV relativeFrom="page">
              <wp:posOffset>3937000</wp:posOffset>
            </wp:positionV>
            <wp:extent cx="38100" cy="3810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4483100</wp:posOffset>
            </wp:positionH>
            <wp:positionV relativeFrom="page">
              <wp:posOffset>3937000</wp:posOffset>
            </wp:positionV>
            <wp:extent cx="38100" cy="3810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2362200</wp:posOffset>
            </wp:positionH>
            <wp:positionV relativeFrom="page">
              <wp:posOffset>3886200</wp:posOffset>
            </wp:positionV>
            <wp:extent cx="38100" cy="3810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2438400</wp:posOffset>
            </wp:positionH>
            <wp:positionV relativeFrom="page">
              <wp:posOffset>3822700</wp:posOffset>
            </wp:positionV>
            <wp:extent cx="38100" cy="5080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5232400</wp:posOffset>
            </wp:positionH>
            <wp:positionV relativeFrom="page">
              <wp:posOffset>3683000</wp:posOffset>
            </wp:positionV>
            <wp:extent cx="38100" cy="3810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3708400</wp:posOffset>
            </wp:positionV>
            <wp:extent cx="38100" cy="3810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825500</wp:posOffset>
            </wp:positionH>
            <wp:positionV relativeFrom="page">
              <wp:posOffset>3657600</wp:posOffset>
            </wp:positionV>
            <wp:extent cx="38100" cy="3810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2438400</wp:posOffset>
            </wp:positionH>
            <wp:positionV relativeFrom="page">
              <wp:posOffset>3543300</wp:posOffset>
            </wp:positionV>
            <wp:extent cx="38100" cy="3810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2438400</wp:posOffset>
            </wp:positionH>
            <wp:positionV relativeFrom="page">
              <wp:posOffset>3213100</wp:posOffset>
            </wp:positionV>
            <wp:extent cx="38100" cy="3810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3225800</wp:posOffset>
            </wp:positionV>
            <wp:extent cx="38100" cy="3810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3213100</wp:posOffset>
            </wp:positionV>
            <wp:extent cx="38100" cy="3810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4470400</wp:posOffset>
            </wp:positionH>
            <wp:positionV relativeFrom="page">
              <wp:posOffset>3060700</wp:posOffset>
            </wp:positionV>
            <wp:extent cx="38100" cy="3810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4191000</wp:posOffset>
            </wp:positionH>
            <wp:positionV relativeFrom="page">
              <wp:posOffset>3060700</wp:posOffset>
            </wp:positionV>
            <wp:extent cx="63500" cy="3810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3060700</wp:posOffset>
            </wp:positionV>
            <wp:extent cx="38100" cy="38100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3251200</wp:posOffset>
            </wp:positionH>
            <wp:positionV relativeFrom="page">
              <wp:posOffset>2946400</wp:posOffset>
            </wp:positionV>
            <wp:extent cx="38100" cy="3810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3238500</wp:posOffset>
            </wp:positionH>
            <wp:positionV relativeFrom="page">
              <wp:posOffset>2933700</wp:posOffset>
            </wp:positionV>
            <wp:extent cx="38100" cy="38100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736600</wp:posOffset>
            </wp:positionH>
            <wp:positionV relativeFrom="page">
              <wp:posOffset>3009900</wp:posOffset>
            </wp:positionV>
            <wp:extent cx="38100" cy="38100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4470400</wp:posOffset>
            </wp:positionH>
            <wp:positionV relativeFrom="page">
              <wp:posOffset>2794000</wp:posOffset>
            </wp:positionV>
            <wp:extent cx="38100" cy="3810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2679700</wp:posOffset>
            </wp:positionV>
            <wp:extent cx="38100" cy="3810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4483100</wp:posOffset>
            </wp:positionH>
            <wp:positionV relativeFrom="page">
              <wp:posOffset>2400300</wp:posOffset>
            </wp:positionV>
            <wp:extent cx="38100" cy="3810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6527800</wp:posOffset>
            </wp:positionH>
            <wp:positionV relativeFrom="page">
              <wp:posOffset>2476500</wp:posOffset>
            </wp:positionV>
            <wp:extent cx="38100" cy="3810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4292600</wp:posOffset>
            </wp:positionH>
            <wp:positionV relativeFrom="page">
              <wp:posOffset>2235200</wp:posOffset>
            </wp:positionV>
            <wp:extent cx="38100" cy="3810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1028700</wp:posOffset>
            </wp:positionH>
            <wp:positionV relativeFrom="page">
              <wp:posOffset>2298700</wp:posOffset>
            </wp:positionV>
            <wp:extent cx="38100" cy="38100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5791200</wp:posOffset>
            </wp:positionH>
            <wp:positionV relativeFrom="page">
              <wp:posOffset>2070100</wp:posOffset>
            </wp:positionV>
            <wp:extent cx="38100" cy="38100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4381500</wp:posOffset>
            </wp:positionH>
            <wp:positionV relativeFrom="page">
              <wp:posOffset>2120900</wp:posOffset>
            </wp:positionV>
            <wp:extent cx="38100" cy="38100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3860800</wp:posOffset>
            </wp:positionH>
            <wp:positionV relativeFrom="page">
              <wp:posOffset>2133600</wp:posOffset>
            </wp:positionV>
            <wp:extent cx="38100" cy="3810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1181100</wp:posOffset>
            </wp:positionH>
            <wp:positionV relativeFrom="page">
              <wp:posOffset>2133600</wp:posOffset>
            </wp:positionV>
            <wp:extent cx="38100" cy="3810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5118100</wp:posOffset>
            </wp:positionH>
            <wp:positionV relativeFrom="page">
              <wp:posOffset>2070100</wp:posOffset>
            </wp:positionV>
            <wp:extent cx="25400" cy="25400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2133600</wp:posOffset>
            </wp:positionV>
            <wp:extent cx="25400" cy="25400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46" w:val="left"/>
          <w:tab w:pos="9358" w:val="left"/>
        </w:tabs>
        <w:autoSpaceDE w:val="0"/>
        <w:widowControl/>
        <w:spacing w:line="194" w:lineRule="exact" w:before="0" w:after="0"/>
        <w:ind w:left="430" w:right="432" w:firstLine="0"/>
        <w:jc w:val="left"/>
      </w:pP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 xml:space="preserve">(2) </w:t>
      </w:r>
      <w:r>
        <w:rPr>
          <w:w w:val="101.37763484831778"/>
          <w:rFonts w:ascii="TimesNewRomanPS" w:hAnsi="TimesNewRomanPS" w:eastAsia="TimesNewRomanPS"/>
          <w:b/>
          <w:i w:val="0"/>
          <w:color w:val="000000"/>
          <w:sz w:val="31"/>
        </w:rPr>
        <w:t xml:space="preserve">Appendix 5 - Capacity Request Form (CRF) - Non-Ratable Volume </w:t>
      </w:r>
      <w:r>
        <w:tab/>
      </w:r>
      <w:r>
        <w:rPr>
          <w:w w:val="98.04831913539341"/>
          <w:rFonts w:ascii="TimesNewRomanPS" w:hAnsi="TimesNewRomanPS" w:eastAsia="TimesNewRomanPS"/>
          <w:b/>
          <w:i w:val="0"/>
          <w:color w:val="000000"/>
          <w:sz w:val="21"/>
        </w:rPr>
        <w:t>Please complete one form for each product type per delivery location</w:t>
      </w:r>
    </w:p>
    <w:p>
      <w:pPr>
        <w:autoSpaceDN w:val="0"/>
        <w:autoSpaceDE w:val="0"/>
        <w:widowControl/>
        <w:spacing w:line="206" w:lineRule="exact" w:before="182" w:after="0"/>
        <w:ind w:left="0" w:right="0" w:firstLine="0"/>
        <w:jc w:val="center"/>
      </w:pPr>
      <w:r>
        <w:rPr>
          <w:w w:val="98.04831913539341"/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Name of Shipper: </w:t>
      </w:r>
      <w:r>
        <w:rPr>
          <w:w w:val="98.04831913539341"/>
          <w:rFonts w:ascii="TimesNewRomanPSMT" w:hAnsi="TimesNewRomanPSMT" w:eastAsia="TimesNewRomanPSMT"/>
          <w:b w:val="0"/>
          <w:i w:val="0"/>
          <w:color w:val="000000"/>
          <w:sz w:val="21"/>
          <w:u w:val="single"/>
        </w:rPr>
        <w:t>Marathon Petroleum Company LP</w:t>
      </w:r>
    </w:p>
    <w:p>
      <w:pPr>
        <w:autoSpaceDN w:val="0"/>
        <w:autoSpaceDE w:val="0"/>
        <w:widowControl/>
        <w:spacing w:line="206" w:lineRule="exact" w:before="196" w:after="0"/>
        <w:ind w:left="0" w:right="0" w:firstLine="0"/>
        <w:jc w:val="center"/>
      </w:pPr>
      <w:r>
        <w:rPr>
          <w:w w:val="98.04831913539341"/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Term/Service [Priority, (5,10, 15 Year) Non-Priority] </w:t>
      </w:r>
      <w:r>
        <w:rPr>
          <w:w w:val="98.04831913539341"/>
          <w:rFonts w:ascii="TimesNewRomanPSMT" w:hAnsi="TimesNewRomanPSMT" w:eastAsia="TimesNewRomanPSMT"/>
          <w:b w:val="0"/>
          <w:i w:val="0"/>
          <w:color w:val="000000"/>
          <w:sz w:val="21"/>
          <w:u w:val="single"/>
        </w:rPr>
        <w:t>Priority 5 Year</w:t>
      </w:r>
    </w:p>
    <w:p>
      <w:pPr>
        <w:autoSpaceDN w:val="0"/>
        <w:autoSpaceDE w:val="0"/>
        <w:widowControl/>
        <w:spacing w:line="206" w:lineRule="exact" w:before="194" w:after="0"/>
        <w:ind w:left="0" w:right="0" w:firstLine="0"/>
        <w:jc w:val="center"/>
      </w:pPr>
      <w:r>
        <w:rPr>
          <w:w w:val="98.04831913539341"/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Product Type [Condensate, Natural Gasoline, Diluent or Butane]: </w:t>
      </w:r>
      <w:r>
        <w:rPr>
          <w:w w:val="98.04831913539341"/>
          <w:rFonts w:ascii="TimesNewRomanPSMT" w:hAnsi="TimesNewRomanPSMT" w:eastAsia="TimesNewRomanPSMT"/>
          <w:b w:val="0"/>
          <w:i w:val="0"/>
          <w:color w:val="000000"/>
          <w:sz w:val="21"/>
          <w:u w:val="single"/>
        </w:rPr>
        <w:t>Normal Butane</w:t>
      </w:r>
    </w:p>
    <w:p>
      <w:pPr>
        <w:autoSpaceDN w:val="0"/>
        <w:autoSpaceDE w:val="0"/>
        <w:widowControl/>
        <w:spacing w:line="240" w:lineRule="auto" w:before="3506" w:after="0"/>
        <w:ind w:left="4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6760" w:val="left"/>
        </w:tabs>
        <w:autoSpaceDE w:val="0"/>
        <w:widowControl/>
        <w:spacing w:line="240" w:lineRule="auto" w:before="20" w:after="0"/>
        <w:ind w:left="33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381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38100" cy="381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42" w:lineRule="exact" w:before="46" w:after="0"/>
        <w:ind w:left="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(2) - Assumes shipper transports a different volume on a per day basis each month of the year</w:t>
      </w:r>
    </w:p>
    <w:p>
      <w:pPr>
        <w:autoSpaceDN w:val="0"/>
        <w:autoSpaceDE w:val="0"/>
        <w:widowControl/>
        <w:spacing w:line="162" w:lineRule="exact" w:before="164" w:after="0"/>
        <w:ind w:left="6" w:right="302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4"/>
        </w:rPr>
        <w:t xml:space="preserve">Notes: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Deliveries to Canton will begin in late 2016 and deliveries to other locations will begin in mid-2017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 tariff rate for the first year of movements can be found in Appendix 4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 tariff rate will be adjusted annually in accordance with the standard FERC annual oil pipeline indexing methodology</w:t>
      </w:r>
    </w:p>
    <w:p>
      <w:pPr>
        <w:autoSpaceDN w:val="0"/>
        <w:autoSpaceDE w:val="0"/>
        <w:widowControl/>
        <w:spacing w:line="194" w:lineRule="exact" w:before="376" w:after="0"/>
        <w:ind w:left="3168" w:right="3168" w:firstLine="0"/>
        <w:jc w:val="center"/>
      </w:pPr>
      <w:r>
        <w:rPr>
          <w:w w:val="101.59611701965332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Marathon Pipe Line LLC &amp; Ohio River Pipe Line LLC </w:t>
      </w:r>
      <w:r>
        <w:br/>
      </w:r>
      <w:r>
        <w:rPr>
          <w:w w:val="101.59611701965332"/>
          <w:rFonts w:ascii="TimesNewRomanPSMT" w:hAnsi="TimesNewRomanPSMT" w:eastAsia="TimesNewRomanPSMT"/>
          <w:b w:val="0"/>
          <w:i w:val="0"/>
          <w:color w:val="000000"/>
          <w:sz w:val="16"/>
        </w:rPr>
        <w:t>CONFIDENTIAL AND PROPRIETARY</w:t>
      </w:r>
    </w:p>
    <w:p>
      <w:pPr>
        <w:autoSpaceDN w:val="0"/>
        <w:autoSpaceDE w:val="0"/>
        <w:widowControl/>
        <w:spacing w:line="240" w:lineRule="auto" w:before="25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62" w:right="96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8"/>
        <w:ind w:left="0" w:right="0"/>
      </w:pPr>
    </w:p>
    <w:p>
      <w:pPr>
        <w:autoSpaceDN w:val="0"/>
        <w:tabs>
          <w:tab w:pos="1940" w:val="left"/>
          <w:tab w:pos="9352" w:val="left"/>
        </w:tabs>
        <w:autoSpaceDE w:val="0"/>
        <w:widowControl/>
        <w:spacing w:line="194" w:lineRule="exact" w:before="0" w:after="0"/>
        <w:ind w:left="424" w:right="432" w:firstLine="0"/>
        <w:jc w:val="left"/>
      </w:pP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 xml:space="preserve">(2) </w:t>
      </w:r>
      <w:r>
        <w:rPr>
          <w:w w:val="101.37763484831778"/>
          <w:rFonts w:ascii="TimesNewRomanPS" w:hAnsi="TimesNewRomanPS" w:eastAsia="TimesNewRomanPS"/>
          <w:b/>
          <w:i w:val="0"/>
          <w:color w:val="000000"/>
          <w:sz w:val="31"/>
        </w:rPr>
        <w:t xml:space="preserve">Appendix 5 - Capacity Request Form (CRF) - Non-Ratable Volume </w:t>
      </w:r>
      <w:r>
        <w:tab/>
      </w:r>
      <w:r>
        <w:rPr>
          <w:w w:val="98.04831913539341"/>
          <w:rFonts w:ascii="TimesNewRomanPS" w:hAnsi="TimesNewRomanPS" w:eastAsia="TimesNewRomanPS"/>
          <w:b/>
          <w:i w:val="0"/>
          <w:color w:val="000000"/>
          <w:sz w:val="21"/>
        </w:rPr>
        <w:t>Please complete one form for each product type per delivery location</w:t>
      </w:r>
    </w:p>
    <w:p>
      <w:pPr>
        <w:autoSpaceDN w:val="0"/>
        <w:autoSpaceDE w:val="0"/>
        <w:widowControl/>
        <w:spacing w:line="206" w:lineRule="exact" w:before="184" w:after="0"/>
        <w:ind w:left="0" w:right="2946" w:firstLine="0"/>
        <w:jc w:val="right"/>
      </w:pPr>
      <w:r>
        <w:rPr>
          <w:w w:val="98.04831913539341"/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Name of Shipper: </w:t>
      </w:r>
      <w:r>
        <w:rPr>
          <w:w w:val="98.04831913539341"/>
          <w:rFonts w:ascii="TimesNewRomanPSMT" w:hAnsi="TimesNewRomanPSMT" w:eastAsia="TimesNewRomanPSMT"/>
          <w:b w:val="0"/>
          <w:i w:val="0"/>
          <w:color w:val="000000"/>
          <w:sz w:val="21"/>
          <w:u w:val="single"/>
        </w:rPr>
        <w:t>Marathon Petroleum Company LP</w:t>
      </w:r>
    </w:p>
    <w:p>
      <w:pPr>
        <w:autoSpaceDN w:val="0"/>
        <w:autoSpaceDE w:val="0"/>
        <w:widowControl/>
        <w:spacing w:line="206" w:lineRule="exact" w:before="194" w:after="0"/>
        <w:ind w:left="2254" w:right="0" w:firstLine="0"/>
        <w:jc w:val="left"/>
      </w:pPr>
      <w:r>
        <w:rPr>
          <w:w w:val="98.04831913539341"/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Term/Service [Priority, (5,10, 15 Year) Non-Priority] </w:t>
      </w:r>
      <w:r>
        <w:rPr>
          <w:w w:val="98.04831913539341"/>
          <w:rFonts w:ascii="TimesNewRomanPSMT" w:hAnsi="TimesNewRomanPSMT" w:eastAsia="TimesNewRomanPSMT"/>
          <w:b w:val="0"/>
          <w:i w:val="0"/>
          <w:color w:val="000000"/>
          <w:sz w:val="21"/>
          <w:u w:val="single"/>
        </w:rPr>
        <w:t>Priority 5 Year</w:t>
      </w:r>
    </w:p>
    <w:p>
      <w:pPr>
        <w:autoSpaceDN w:val="0"/>
        <w:autoSpaceDE w:val="0"/>
        <w:widowControl/>
        <w:spacing w:line="206" w:lineRule="exact" w:before="196" w:after="0"/>
        <w:ind w:left="1712" w:right="0" w:firstLine="0"/>
        <w:jc w:val="left"/>
      </w:pPr>
      <w:r>
        <w:rPr>
          <w:w w:val="98.04831913539341"/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Product Type [Condensate, Natural Gasoline, Diluent or Butane]: </w:t>
      </w:r>
      <w:r>
        <w:rPr>
          <w:w w:val="98.04831913539341"/>
          <w:rFonts w:ascii="TimesNewRomanPSMT" w:hAnsi="TimesNewRomanPSMT" w:eastAsia="TimesNewRomanPSMT"/>
          <w:b w:val="0"/>
          <w:i w:val="0"/>
          <w:color w:val="000000"/>
          <w:sz w:val="21"/>
          <w:u w:val="single"/>
        </w:rPr>
        <w:t>Normal Butane</w:t>
      </w:r>
    </w:p>
    <w:p>
      <w:pPr>
        <w:autoSpaceDN w:val="0"/>
        <w:autoSpaceDE w:val="0"/>
        <w:widowControl/>
        <w:spacing w:line="240" w:lineRule="auto" w:before="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58890" cy="227711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6358890" cy="2277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2" w:lineRule="exact" w:before="2" w:after="0"/>
        <w:ind w:left="0" w:right="302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(2) - Assumes shipper transports a different volume on a per day basis each month of the year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 xml:space="preserve">Notes: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Deliveries to Canton will begin in late 2016 and deliveries to other locations will begin in mid-2017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The tariff rate for the first year of movements can be found in Appendix 4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The tariff rate will be adjusted annually in accordance with the standard FERC annual oil pipeline indexing methodology</w:t>
      </w:r>
    </w:p>
    <w:p>
      <w:pPr>
        <w:autoSpaceDN w:val="0"/>
        <w:autoSpaceDE w:val="0"/>
        <w:widowControl/>
        <w:spacing w:line="196" w:lineRule="exact" w:before="470" w:after="0"/>
        <w:ind w:left="3168" w:right="3168" w:firstLine="0"/>
        <w:jc w:val="center"/>
      </w:pPr>
      <w:r>
        <w:rPr>
          <w:w w:val="101.59611701965332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Marathon Pipe Line LLC &amp; Ohio River Pipe Line LLC </w:t>
      </w:r>
      <w:r>
        <w:br/>
      </w:r>
      <w:r>
        <w:rPr>
          <w:w w:val="101.59611701965332"/>
          <w:rFonts w:ascii="TimesNewRomanPSMT" w:hAnsi="TimesNewRomanPSMT" w:eastAsia="TimesNewRomanPSMT"/>
          <w:b w:val="0"/>
          <w:i w:val="0"/>
          <w:color w:val="000000"/>
          <w:sz w:val="16"/>
        </w:rPr>
        <w:t>CONFIDENTIAL AND PROPRIETARY</w:t>
      </w:r>
    </w:p>
    <w:p>
      <w:pPr>
        <w:sectPr>
          <w:pgSz w:w="11900" w:h="16840"/>
          <w:pgMar w:top="666" w:right="880" w:bottom="1440" w:left="986" w:header="720" w:footer="720" w:gutter="0"/>
          <w:cols/>
          <w:docGrid w:linePitch="360"/>
        </w:sectPr>
      </w:pPr>
    </w:p>
    <w:sectPr w:rsidR="00FC693F" w:rsidRPr="0006063C" w:rsidSect="00034616">
      <w:pgSz w:w="11900" w:h="16840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