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876" w:val="left"/>
          <w:tab w:pos="4584" w:val="left"/>
          <w:tab w:pos="907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COOPERATION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Cooperation Agreement 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dated as of May 13, 2020, is by and among MG Capital Management Ltd., a Cayman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Islands company limited by shares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MG Capital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Percy Rockdale LLC, a Michigan limited liability company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Percy Rockdale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Rio Royal LLC,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Michigan limited liability company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Rio Royal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together with MG Capital and Percy Rockdale,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MG Capital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HC2 Holdings,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Inc., a Delaware corporation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Each of the MG Capital Parties and the Company are referred to herein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as of the date hereof, the MG Capital Parties may be deemed to beneficially own 2,703,537 shares of the Company’s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stock, $0.001 par value per share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represents approximately 5.8% of the Common Stock issued and outstanding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hereof;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consideration of the agreements and obligations of the Company, as set forth in this Agreement and subject to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conditions contained herein, the MG Capital Parties are agreeing (i) to irrevocably withdraw the notice of stockholder nomination of individuals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election as directors of the Company at the Company’s 2020 Annual Meeting of Stockholders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2020 Annual Meeting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submitted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on February 13, 2020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Nomination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any related materials or notices submitted to the Company in connection therewith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(ii) to terminate its solicitation of proxies in connection with the 2020 Annual Meeting;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as of the date hereof, the Company and the MG Capital Parties have determined that it is in their respective best interests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come to an agreement to modify the composition of the Company’s board of directors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as to certain other matters, as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Board and the Nominating and Governance Committee of the Board have selected their 2020 Director Slate (as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herein) for the 2020 Annual Meeting.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premises and the mutual covenants and agreements contained herein, and for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and valuable consideration, the receipt and sufficiency of which are hereby acknowledged, the Parties, intending to be legally bound hereby,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 of Directors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Appointments.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Simultaneously with the execution and delivery of this Agreement, the Board and its committees shall take such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(with such actions deemed to have to occurred substantially simultaneously) as are necessary (i) to increase the size of the Board from six (6) to 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(10) Directors, and (ii) to appoint each of Kenneth S. Courtis and Michael Gorzynski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MG Capital Designees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(iii) to appoint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Avram A. Glazer and Shelly Lombard (together with the MG Capital Designees,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New Directors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to the Board.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Board Size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From the date of this Agreement through the completion of the 2020 Annual Meeting, the Board will not increase the size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Board above ten (10) directors without the unanimous approval of the Board. From the completion of the Company’s 2020 Annual Meeting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the end of the Standstill Period (as hereinafter defined), the Board will not increase the size of the Board above seven (7) directors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unanimous approval of the Board.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Board Chairman Succession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Consistent with the actions previously taken by the Board and the Glazer Agreement, and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Mr. Glazer will be appointed as Chairman of the Board, succeeding Mr. Gfeller, who is being replaced as Chairman of the Board effective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date hereof.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New Director 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condition to the New Directors’ appointment to the Board and any subsequent nomination for election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director at any future Company annual meeting of stockholders, he or she must provide any information required to be disclosed in a proxy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or other filing under applicable law, stock exchange rules or listing standards.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Date of the 2020 Annual Meeting.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agrees that it shall hold the 2020 Annual Meeting no later than July 8, 2020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cause or permit any delay, postponement or adjournment thereof, except for any adjournment solely due to a lack of quorum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Fourth Amended and Restated By-Laws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By-Laws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Slate of Directors for the 2020 Annual Meeting.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Company agrees that, in connection with the execution and delivery of this Agreement, the Board shall take such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are necessary to (i) reduce the size of the Board from ten (10) to seven (7) Directors, effective as of the 2020 Annual Meeting, and (ii) nominate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the New Directors and Wayne Barr, Jr., Warren H. Gfeller and Philip A. Falcone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2020 Director Slate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election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Board at the 2020 Annual Meeting for a term expiring at the Company’s 2021 Annual Meeting of Stockholders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2021 Annual Meeting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Board, based on the information provided to it, has determined that each member of the 2020 Director Slate would (i) qualify as an “independent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director” under the applicable rules of the New York Stock Exchange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NYSE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the rules and regulations of the U.S. Securities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(ii) satisfy the guidelines and policies with respect to service on the Board applicable to all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directors (other than Mr. Falcone). The Company agrees that, provided that each member of the 2020 Director Slate is able and willing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serve on the Board, (i) the Board will unanimously recommend that the stockholders of the Company vote to elect each member of the 2020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Slate as a director of the Company at the 2020 Annual Meeting, (ii) the Company will use its reasonable best efforts (which will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solicitation of proxies) to obtain the election of the 2020 Director Slate at the 2020 Annual Meeting and (iii) the Company will use its best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resist, discourage and defend against any attempt, solicitation or action by any stockholder of the Company to remove any member of the 2020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Slate prior to the 2021 Annual Meeting. For the avoidance of doubt, the Company will be required to use no less than the same level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and to provide no less than the same level of support as was provided for its director nominees at the 2019 Annual Meeting of Stockholders.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Company’s current directors that is not standing for election at the 2020 Annual Meeting shall receive the full amount of his or 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quarterly compensation for serving as non-management directors during the second quarter of 2020 (including any quarterly fee awarded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vesting of any and all equity awards for serving on, or serving as the Chair of, any committee of the Board).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Company Policies and Indemnification.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Parties acknowledge that each of the MG Capital Designees and each other member of the 2020 Director Slate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 the same protections and obligations as other non-employee directors of the Company, including, without limitation, confidentiality,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conflicts of interest, related party transactions, fiduciary duties, codes of conduct, trading and disclosure policies, and other governance guidelines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policies of the Company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 Policies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shall have the same rights and benefits as other non-employee directors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including without limitation with respect to insurance, indemnification, compensation and fees.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Parties acknowledge that to the extent they have not already done so, within three (3) business days of the date 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enter into an indemnification agreement with each of the New Directors in the form attached as Exhibit 10.20 to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Report on Form 10-K, previously filed with the SEC on March 16, 2020.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MG Capital Parties shall comply, and shall cause each of their Affiliates and Associates (as hereinafter defined) to comply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of this Agreement and shall be responsible for any breach of this Agreement by any such Affiliate or Associate.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MG Capital Parties, on behalf of themselves and their Affiliates and Associates, shall irrevocably withdraw their Nomination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and any related materials or notices submitted to the Company in connection therewith and shall agree to terminate any solicitation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proxies in connection with the 2020 Annual Meeting.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MG Capital Parties hereby agree to appear in person (including via permitted remote or virtual attendance) or by proxy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or special meeting of the Company’s stockholders held during the Standstill Period, and agree that they shall not participate or vote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solicitation of written consents of the Company’s stockholders during the Standstill Period (unless expressly requested to do so by the Board),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they shall vote all shares of Common Stock beneficially owned by the MG Capital Parties at such meeting or in such consent solicitation, (A)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favor of all directors nominated by the Board for election and against the removal of any member of the Board, (B) in accordance with the Board’s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recommendation with respect to any “say-on-pay” proposal and (C) in accordance with the Board’s recommendation with respect to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proposal or stockholder proposal or nomination presented at such meeting or solicitation of consents;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that both Institutional Shareholder Services Inc.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Glass, Lewis &amp; Co., LLC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Glass Lewis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recommend otherwise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“say-on-pay” proposal presented at an annual or special meeting held during the Standstill Period, the MG Capital Parties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to vote in accordance with the recommendation of ISS and Glass Lewis.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MG Capital Parties agree that the Board or any committee thereof, solely to fulfill the discharge of its fiduciary duties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advice of its legal counsel, may recuse either of Messrs. Courtis or Gorzynski by majority vote of the members of the Board (but excluding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director), from the portion of any Board or committee meeting at which the Board or any such committee is evaluating and/or taking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with respect to and after the right of the recused director to be present prior to recusal (A) the exercise of any of the Company’s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of any of the obligations under this Agreement, and (B) any transaction proposed by, or with, the MG Capital Parties, their Affiliates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Associates, as long as all other similarly situated directors are similarly recused. The Board or such committee, as applicable, may withhold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of Messrs. Courtis or Gorznyski any material distributed to the directors to the extent directly relating to the subject of that recusal.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Standstill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standstill period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Standstill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begins on the date of this Agreement and shall extend until thirty (30) days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deadline for the submission of stockholder nominations for directors for the 2021 Annual Meeting pursuant to the By-Laws. The MG Capital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agree that during the Standstill Period, none of the MG Capital Parties nor any of their Affiliates and Associates will, and they will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their Affiliates and Associates not to, as applicable, directly or indirectly, alone or in concert with others, in any manner, but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subject, in each case, to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fail to comply with all applicable laws and regulatory rules and obtain all applicable regulatory approvals, if and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acquiring, or offering, seeking or agreeing to acquire, by purchase or otherwise, or directing any third party in the acquisition of, any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or any securities convertible or exchangeable into or exercisable for Common Stock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rights or options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acquire any Company Securities, or engaging in any swap instrument or derivative hedging transactions or other derivative agreements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nature with respect to Company Securities;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engage in a “solicitation” of “proxies” (as such terms are defined under the Exchange Act), votes or written consents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or security holders with respect to, or from the holders of, the Common Stock (including a “withhold” or similar campaign),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purpose, including, without limitation, the election or appointment of individuals to the Board or to approve or vote in favor or against stockholder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proposals, resolutions or motions, or become a “participant” (as such term is defined in Instruction 3 to Item 4 of Schedule 14A promulgated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Exchange Act) in any contested “solicitation” of proxies, votes or written consents for any purpose, including, without limitation, the election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appointment of directors with respect to the Company (as such terms are defined under the Exchange Act) (other than a “solicitation” or acting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“participant” in support of the nominees of the Board at any stockholder meeting or providing such encouragement, advice or influence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either the Board’s or Company management’s recommendation in connection with such director nominees or other proposals,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resolutions or motions, pursuant to this Agreement or otherwise);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form, join or in any way participate in any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(within the meaning of Section 13(d)(3) of the Exchange Act)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shares of the Common Stock (other than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that includes all or some of the persons or entities 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hereto);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nothing herein shall limit the ability of an Affiliate, a family member and an estate planning vehicle formed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foregoing, of the MG Capital Parties to join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with such parties, as applicable, following the execution of this Agreement;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2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agree, attempt, seek or propose to deposit any shares of Common Stock in any voting trust or similar arrangement or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shares of Common Stock to any arrangement or agreement with respect to the voting of any shares of Common Stock, other than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trust, arrangement or agreement solely among the MG Capital Parties, and their Affiliates or Associates and otherwise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seek or submit, or knowingly encourage any person or entity to seek or submit, nomination(s) in furtherance of a “contested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solicitation” for the appointment, election or removal of directors with respect to the Company or seek, or knowingly encourage or take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with respect to the appointment, election or removal of any directors, in each case in opposition to the recommendation of the Board;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(A) present or make to the stockholders of the Company, or knowingly encourage any person to present or make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of the Company, any proposal or other matter for consideration by stockholders at any annual or special meeting of stockholders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or through action by written consent, (B) make any public offer or proposal to the Company (with or without conditions)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merger, tender (or exchange) offer, acquisition, recapitalization, restructuring, disposition or other business combination involving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any of its significant subsidiaries, or make any such offer privately to the Company, which private offer would reasonably be expected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require the Company or the Parties to make public disclosure (of any kind), (C) affirmatively solicit a third party to make any public or private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or proposal (with or without conditions) with respect to any merger, tender (or exchange) offer, acquisition, recapitalization, restructuring,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disposition or other business combination involving the Company, or encourage, initiate or support any third party in making such an offer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proposal, (D) publicly comment on any third party proposal regarding any merger, tender (or exchange) offer, acquisition, recapitalization,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restructuring, disposition, or other business combination with respect to the Company or any of its significant subsidiaries by such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such proposal becoming public or (E) make any private proposal to the Company that would reasonably be expected to require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or the Parties to make public disclosure (of any kind);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make any public disclosure, communication, announcement or statement regarding any intent, purpose, plan, or proposal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(A) controlling, changing or influencing the Board, including, without limitation, any public disclosure, communication,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announcement or statement regarding any intent, purpose, plan, or proposal relating to any change in the number of directors or the filling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vacancies on the Board, (B) any material change in the capitalization, dividend policy, share repurchase programs and practices or capital allocation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and practices of the Company, (C) relating to any material change in the Company’s management, compensation or corporate structure,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relating to any waiver, amendment or modification to the Company’s Second Amended and Restated Certificate of Incorporation, as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to the By-Laws, (E) causing any securities of the Company to be delisted or (F) causing any equity securities of the Company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become eligible for termination of registration;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seek, alone or in concert with others, representation on the Board, except as specifically permitted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below, advise, knowingly encourage, knowingly support or knowingly influence any person or entity,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MG Capital Parties’ capacity as stockholders of the Company, with respect to the voting or disposition of any securities of the Company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annual or special meeting of stockholders with respect to the appointment, election or removal of any director(s), except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make any request for stockholder list materials or other books and records of the Company in the MG Capital Parties’ capacity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stockholders of the Company;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institute, solicit, assist or join, as a party, any litigation, arbitration or other proceeding against or involving the Company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or their current or former directors or officers (including derivative actions) in order to effect or take any of the actions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prohibited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for the avoidance of doubt the foregoing shall not prevent the MG Capital Parties,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or Associates from (A) bringing litigation to enforce the provisions of this Agreement, (B) making counterclaims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initiated by, or on behalf of, the Company against the MG Capital Parties, their Affiliates or their Associates, (C) bringing bona fide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disputes that do not relate to the subject matter of this Agreement, (D) complying with a validly issued legal process or (E) exercising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statutory appraisal, dissenters or similar rights under applicable law;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5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make any request or submit any proposal to amend the terms of this Agreement other than through non-public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with the Company or the Board that would not be reasonably determined to trigger public disclosure obligations for any Party;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disclose any intention, plan or arrangement inconsistent with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Notwithstanding the foregoing, nothing in this Agreement shall prohibit or restrict the MG Capital Parties from: (A) communicating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privately with the Board or any of the Company’s officers regarding any matter in a manner that does not otherwise violate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so long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such communications are not intended to, and would not reasonably be expected to, require any public disclosure of such communications,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communicating privately with stockholders of the Company and others in a manner that does not otherwise violate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(C) taking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necessary to comply with any law, rule or regulation or any action required by any governmental or regulatory authority or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that has, or may have, jurisdiction over the MG Capital Parties or any of their respective Affiliates or Associates;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MG Capital Parties of this Agreement is not the cause of the applicable requirement. Furthermore, nothing in this Agreement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restrict in any way the ability of Messrs. Courtis or Gorzynski, each acting in his capacity as a director of the Company, from exercising any of 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powers and privileges as directors, from fulfilling his statutory and fiduciary duties as a director, or otherwise exercising his authority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 pursuant to the Charter, the By-Laws and/or any resolution of the Board or a committee thereof.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represents and warrants to the MG Capital Parties as follows: (a)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has the power and authority to execute, deliver and carry out the terms and provisions of this Agreement and to consummate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by this Agreement; (b) this Agreement has been duly and validly authorized, executed and delivered by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a valid and binding obligation and agreement of the Company and is enforceable against the Company in accordance with its terms,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enforcement of this Agreement may be limited by applicable bankruptcy, insolvency, reorganization, moratorium, fraudulent conveyance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similar laws generally affecting the right of creditors and subject to general equity principles; (c) the execution, delivery and performance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the Company does not and will not (i) violate or conflict with any law, rule, regulation, order, judgment or decree applicable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or (ii) result in any breach or violation of or constitute a default (or an event which with notice or lapse of time or both could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violation or default) under or pursuant to, or result in the loss of a material benefit under, or give any right of termination, amendment,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acceleration or cancellation of, any organizational document, agreement, contract, commitment, understanding or arrangement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is a party or by which it is bound; and (d) the execution, delivery and performance of this Agreement by the Company does not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violate or conflict with any law, rule, regulation, order, judgment or decree applicable to the Company.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the MG Capital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MG Capital Parties represent and warrant to the Company that,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expressly set forth in, or permitted pursuant to, this Agreement, (a) the authorized signatory or signatories of the MG Capital Parties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on the signature page hereto has the power and authority to execute this Agreement and any other documents or agreements to be entered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in connection with this Agreement and to bind the MG Capital Parties thereto, (b) this Agreement has been duly authorized, executed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by the MG Capital Parties, and assuming due execution by each counterparty hereto, is a valid and binding obligation of the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against the MG Capital Parties in accordance with its terms, except as enforcement thereof may be limited by applicable bankruptcy,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insolvency, reorganization, moratorium, fraudulent conveyance or similar laws generally affecting the rights of creditors and subject to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principles, (c) the execution of this Agreement, the consummation of any of the transactions contemplated hereby, and the fulfillment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hereof, in each case in accordance with the terms hereof, will not conflict with, or result in a breach or violation of the organizational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of the MG Capital Parties as currently in effect, (d) the execution, delivery and performance of this Agreement by the MG Capital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and will not violate or conflict with any law, rule, regulation, order, judgment or decree applicable to the MG Capital Parties, (e)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this Agreement, the MG Capital Parties are deemed to beneficially own 2,703,537 shares of Common Stock, (f) as of the date hereof,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set forth in clause (e) above, the MG Capital Parties do not currently have, and do not currently have any right to acquire any beneficial,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 or derivative interest in any other securities of the Company (or any rights, options or other securities convertible into or exercisable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exchangeable (whether or not convertible, exercisable or exchangeable immediately or only after the passage of time or the occurrence of a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event) for such securities or any obligations measured by the price or value of any securities of the Company or any of its controlled Affiliates,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swaps or other derivative arrangements designed to produce economic benefits and risks that correspond to the ownership of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Common Stock or any other securities of the Company, whether or not any of the foregoing would give rise to beneficial ownership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under Rule 13d-3 promulgated under the Exchange Act), and whether or not to be settled by delivery of shares of Common Stock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class or series of the Company’s stock, payment of cash or by other consideration, and without regard to any short position under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or arrangement), (g) the MG Capital Parties have not entered into or maintained, and will not enter into or maintain, any economic,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compensatory, pecuniary or other arrangements with any director of the Company for serving as a nominee or director of the Company, (h)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other than the MG Capital Parties has any rights with respect to the shares of Common Stock beneficially owned by the MG Capital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(i) none of the MG Capital Parties or their Affiliates has formed, or has any present intent to form, a group (within the meaning of Section 13(d)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Exchange Act) with any person or entity not 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relation to the Company or the Common Stock.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Non-Disparagement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applicable law, each of the Parties covenants and agrees that, during the Standstill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nor any of its subsidiaries, Affiliates, successors, assigns, principals, partners, members, general partners, officers, key employees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directors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shall in any way, directly or indirectly, in any capacity or manner, whether written or oral, electronically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 (including, without limitation, in a television, radio, internet, newspaper, magazine interview, or otherwise through the press, media,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analysts or other persons or in any document or report filed with the SEC), publicly disparage, impugn, make ad hominem attacks on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defame or slander or make, express, transmit, speak, write, verbalize or otherwise publicly communicate in any way (or cause, further, assist, solicit,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encourage, support or participate in any of the foregoing), any public communication or statement of any kind, whether verbal, in writing,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electronically transferred or otherwise, that might reasonably be construed to be disparage, derogate or impugn, the other Party or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Representatives (including any current officer or director of a Party or a Parties’ subsidiaries who no longer serves in such capacity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execution of this Agreement), employees, stockholders (solely in their capacity as stockholders of the applicable Party),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businesses, products or services, in any manner that would reasonably be expected to damage the business, or reputation of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of its Representatives (including former officers and directors), directors (or former directors), employees, stockholders (solely in their capacity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stockholders of the applicable Party);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with respect to any litigation, arbitration or other proceeding between the Parties, nothing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prevent either Party from disclosing any facts or circumstances with respect to any such litigation, arbitration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(i) limit the power of any director of the Company to act in accordance with his or her fiduciary duties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in accordance with applicable law and (ii) limit any Party’s ability to comply with any subpoena or other legal process or respond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for information from any governmental authority with jurisdiction over the party from whom information is sought.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Announcement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Promptly following the execution of this Agreement, the Company shall issue a joint press release with the MG Capital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in the form attached to this Agreement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Press Release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with such modifications, if any, as may be mutually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Company and the MG Capital Parties, and (i) the Company shall file a Current Report on Form 8-K, which shall be in form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 reasonably acceptable to the Company and the MG Capital Parties (for the avoidance of doubt, nothing herein shall prohibit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from complying with its obligation to file such Current Report by the deadline therefor) and (ii) the MG Capital Parties shall file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to its Schedule 13D announcing this Agreement and the withdrawal of the 2020 Consent Solicitation, which shall be in form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 reasonably acceptable to the Company and the MG Capital Parties (for the avoidance of doubt, nothing herein shall prohibit the MG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Capital Parties from complying with its obligation to file such amendment by the deadline therefor).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Neither the Company, the MG Capital Parties nor any of their respective Affiliates or Associates, will issue a separate press release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Agreement, other than as mutually agreed by the Company and the MG Capital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purposes of this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terms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Associate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respective meanings set forth in Rule 12b-2 promulgated by the SEC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Act and shall include all persons or entities that at any time during the term of this Agreement become Affiliates or Associates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or entity referred to in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Securities Exchange Act of 1934, as amended;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the terms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 any individual, corporation (including not-for-profit), general or limited partnership,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or unlimited liability company, joint venture, estate, trust, association, organization or other entity of any kind or nature.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consents, requests, instructions, approvals and other communications provided for herein and all legal process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 to this Agreement will be in writing and will be deemed validly given, made or served, if (a) given by email, when sent to the email address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below (as applicable), and receipt of such email is acknowledged, or (b) if given by any other means, when actually received during normal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hours at the address specified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  <w:tab w:pos="1516" w:val="left"/>
        </w:tabs>
        <w:autoSpaceDE w:val="0"/>
        <w:widowControl/>
        <w:spacing w:line="184" w:lineRule="exact" w:before="0" w:after="0"/>
        <w:ind w:left="608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Company: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HC2 Holdings, Inc.</w:t>
      </w:r>
    </w:p>
    <w:p>
      <w:pPr>
        <w:autoSpaceDN w:val="0"/>
        <w:tabs>
          <w:tab w:pos="1214" w:val="left"/>
          <w:tab w:pos="1516" w:val="left"/>
          <w:tab w:pos="2424" w:val="left"/>
        </w:tabs>
        <w:autoSpaceDE w:val="0"/>
        <w:widowControl/>
        <w:spacing w:line="202" w:lineRule="exact" w:before="0" w:after="0"/>
        <w:ind w:left="608" w:right="51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450 Park Avenue, 30th Floor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10022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Joseph A. Ferraro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jferraro@hc2.com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+1-212-235-2691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copies to: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Skadden, Arps, Slate, Meagher &amp; Flom LLP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Manhattan West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10001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Richard J. Grossman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Todd E. Freed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Richard.grossman@skadden.com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Todd.freed@skadden.com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+1-212-735-2116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+1-212-735-3714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MG Capital Parties: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MG Capital Management Ltd.</w:t>
      </w:r>
    </w:p>
    <w:p>
      <w:pPr>
        <w:autoSpaceDN w:val="0"/>
        <w:tabs>
          <w:tab w:pos="1516" w:val="left"/>
          <w:tab w:pos="2424" w:val="left"/>
        </w:tabs>
        <w:autoSpaceDE w:val="0"/>
        <w:widowControl/>
        <w:spacing w:line="202" w:lineRule="exact" w:before="0" w:after="0"/>
        <w:ind w:left="1214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595 Madison Avenue, 29th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10022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Michael Gorzynski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mike@mgcapitalpartners.com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+1-646-274-9610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Kleinberg, Kaplan, Wolff &amp; Cohen, P.C.</w:t>
      </w:r>
    </w:p>
    <w:p>
      <w:pPr>
        <w:autoSpaceDN w:val="0"/>
        <w:tabs>
          <w:tab w:pos="608" w:val="left"/>
          <w:tab w:pos="1516" w:val="left"/>
          <w:tab w:pos="242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500 Fifth Avenue, 11th Floor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10110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Christopher P. Davis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cdavis@kkwc.com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+1-212-880-9865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five (5) business days following receipt of reasonably satisfactory documentation thereof, the Company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reimburse the MG Capital Parties for their fees and expenses (including all legal, public relations, proxy advisory and out-of-pocket expenses,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incurred in preparation for and in connection with the matters relating to the consent solicitation run by the MG Capital Parties,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2020 Annual Meeting and the negotiation, execution and effectuation of this Agreement and the transactions contemplated hereby, in an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equal to $352,290.25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Reimbursement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Between the date of the Initial Reimbursement and the date of the 2020 Annual Meeting,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reimburse the MG Capital Parties for the Expenses in an aggregate amount not exceeding $650,000 (inclusive of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Reimbursement,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Expenses shall be reimbursed on a dollar-for-dollar basis at the same time as the Company reimburses its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vendors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legal counsel, public relations firm, financial advisor and proxy advisory firm)in connection with the MG Capital Parties’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solicitation and Nomination Notice;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all Expenses, subject to the Cap, shall be reimbursed no later than the date of the 2020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 Meeting.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Performance; Remedies; 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of the Parties acknowledges and agrees that irreparable injury to the other Party could occur in the event any of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were not performed in accordance with their specific terms or were otherwise breached and that such injury could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adequately compensable by the remedies available at law (including the payment of money damages). It is accordingly agreed that each Party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entitled to seek injunction or injunctions to prevent breaches of this Agreement and to enforce specifically the terms and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in addition to any other remedy to which they are entitled at law or in equity. FURTHERMORE, THE PARTIES AGREE (1) ANY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BREACHING PARTY WILL BE ENTITLED TO SEEK INJUNCTIVE AND OTHER EQUITABLE RELIEF, WITHOUT PROOF OF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DAMAGES; AND (2) THE BREACHING PARTY AGREES TO WAIVE ANY BONDING REQUIREMENT UNDER ANY APPLICABLE LAW,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ANY OTHER PARTY SEEKS TO ENFORCE THE TERMS BY WAY OF EQUITABLE RELIEF. THIS AGREEMENT WILL BE GOVERNED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RESPECTS, INCLUDING VALIDITY, INTERPRETATION AND EFFECT, BY THE LAWS OF THE STATE OF DELAWARE WITHOUT GIVING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TO THE CHOICE OF LAW PRINCIPLES OF SUCH STATE.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Parties (a) irrevocably and unconditionally submit to the personal jurisdiction of the Delaware Court of Chancery (or, only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 Court of Chancery declines to accept jurisdiction over a particular matter, the federal or other state courts located in Wilmington,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Delaware), (b) agree that they will not attempt to deny or defeat such personal jurisdiction by motion or other request for leave from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courts, (c) agree that any actions or proceedings arising in connection with this Agreement or the transactions contemplated by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brought, tried and determined only in such courts, (d) waive any claim of improper venue or any claim that those courts are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inconvenient forum and (e) agree that they will not bring any action relating to this Agreement or the transactions contemplated hereunder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other than the aforesaid courts. The Parties agree that mailing of process or other papers in connection with any such action or proceeding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manner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or in such other manner as may be permitted by applicable law as sufficient service of process, shall be valid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sufficient service thereof.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at any time subsequent to the date hereof, any provision of this Agreement is held by any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to be illegal, void or unenforceable, such provision will be of no force and effect, but the illegality or unenforceability of such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have no effect upon the legality or enforceability of any other provision of this Agreement.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terminate upon the earlier of: (i) the conclusion of the Standstill Period or (ii) delivery of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one Party to the other Party of a material breach of this Agreement by the breaching Party that is uncured after ten (10) calendar days of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breach. Upon such termination, this Agreement shall have no further force and effect. Notwithstanding the foregoing,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 shall survive termination of this Agreement, and no termination of this Agreement shall relieve any party of liability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of this Agreement arising prior to such termination.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two or more counterparts and by scanned computer image (such as .pdf),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will be deemed to be an original copy of this Agreement. For the avoidance of doubt, neither Party shall be bound by any contractual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the other Party (including by means of any oral agreement) until all counterparts to this Agreement have been duly executed by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Parties and delivered to the other Party (including by means of electronic delivery or facsimile).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agrees that it will cause their or its Affiliates and their respective employees and other representatives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the terms of this Agreement.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Third-Party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solely for the benefit of the Company and the MG Capital Parties, and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by any other persons. No Party may assign its rights or delegate its obligations under this Agreement, whether by operation of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otherwise, without the prior written consent of the other Party, and any assignment in contravention hereof will be null and void.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failure or delay by any Party in exercising any right or remedy hereunder will operate as a waiver thereof, nor will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single or partial waiver thereof preclude any other or further exercise thereof or the exercise of any other right or remedy hereunder.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Understanding;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understanding of the Parties with respect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and supersedes any and all prior and contemporaneous agreements, memoranda, arrangements and understandings, both written and oral,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Parties, or any of them, with respect to the subject matter of this Agreement. This Agreement may be amended only by an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executed by each of the Parties.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5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4116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 and 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acknowledges that they have each been represented by counsel of their choice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all negotiations that have preceded the execution of this Agreement, and that they have executed the same with the advice of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counsel. Each Party and its counsel cooperated and participated in the drafting and preparation of this Agreement and the documents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herein, and any and all drafts relating thereto exchanged among the Parties will be deemed the work product of all of the Parties and may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against any Party by reason of its drafting or preparation. Accordingly, any rule of law or any legal decision that would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interpretation of any ambiguities in this Agreement against any Party that drafted or prepared it is of no application and is hereby expressly waived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each Party, and any controversy over interpretations of this Agreement will be decided without regard to events of drafting or preparation.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the words “include,” “includes” or “including” are used in this Agreement, they shall be deemed to be followed by the words “without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limitation.”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pages follow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has been duly executed and delivered by the duly authorized signatories of the parties as of the date first set forth above.</w:t>
      </w:r>
    </w:p>
    <w:p>
      <w:pPr>
        <w:autoSpaceDN w:val="0"/>
        <w:autoSpaceDE w:val="0"/>
        <w:widowControl/>
        <w:spacing w:line="202" w:lineRule="exact" w:before="0" w:after="0"/>
        <w:ind w:left="4850" w:right="37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THE COMPANY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HC2 Holdings, Inc.</w:t>
      </w:r>
    </w:p>
    <w:p>
      <w:pPr>
        <w:autoSpaceDN w:val="0"/>
        <w:tabs>
          <w:tab w:pos="4850" w:val="left"/>
        </w:tabs>
        <w:autoSpaceDE w:val="0"/>
        <w:widowControl/>
        <w:spacing w:line="204" w:lineRule="exact" w:before="0" w:after="0"/>
        <w:ind w:left="3448" w:right="331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/s/Joseph Ferraro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Joseph Ferraro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Chief Legal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938" w:right="288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MG CAPITAL PARTIES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MG Capital Management Ltd.</w:t>
      </w:r>
    </w:p>
    <w:p>
      <w:pPr>
        <w:autoSpaceDN w:val="0"/>
        <w:tabs>
          <w:tab w:pos="4938" w:val="left"/>
        </w:tabs>
        <w:autoSpaceDE w:val="0"/>
        <w:widowControl/>
        <w:spacing w:line="202" w:lineRule="exact" w:before="0" w:after="0"/>
        <w:ind w:left="3448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By:/s/ Michael Gorzynski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Michael Gorzynski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Sole Director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Percy Rockdale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By:/s/ Michael Gorzynski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Michael Gorzynski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Sole Manager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Rio Royal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By:/s/ Michael Gorzynski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Michael Gorzynski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Sole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Cooperation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MG CAPITAL PARTIES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MG CAPITAL MANAGEMENT LTD.</w:t>
      </w:r>
    </w:p>
    <w:p>
      <w:pPr>
        <w:autoSpaceDN w:val="0"/>
        <w:autoSpaceDE w:val="0"/>
        <w:widowControl/>
        <w:spacing w:line="202" w:lineRule="exact" w:before="0" w:after="0"/>
        <w:ind w:left="4032" w:right="403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PERCY ROCKDALE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RIO ROYAL LLC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of Press Release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2640" cy="801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80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2" w:lineRule="exact" w:before="66" w:after="0"/>
        <w:ind w:left="144" w:right="1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538135"/>
          <w:sz w:val="30"/>
        </w:rPr>
        <w:t xml:space="preserve">HC2 HOLDINGS AND MG CAPITAL ANNOUNCE SETTLEMENT </w:t>
      </w:r>
      <w:r>
        <w:rPr>
          <w:w w:val="101.00000381469727"/>
          <w:rFonts w:ascii="TimesNewRomanPS" w:hAnsi="TimesNewRomanPS" w:eastAsia="TimesNewRomanPS"/>
          <w:b/>
          <w:i w:val="0"/>
          <w:color w:val="538135"/>
          <w:sz w:val="30"/>
        </w:rPr>
        <w:t xml:space="preserve">AGREEMENT AND PLAN TO RECONSTITUTE BOARD OF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538135"/>
          <w:sz w:val="30"/>
        </w:rPr>
        <w:t xml:space="preserve">DIRECTORS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26282A"/>
          <w:sz w:val="16"/>
        </w:rPr>
        <w:t xml:space="preserve">Announces Immediate Appointment of Two New Directors: MG Capital Nominees Kenneth S. Courtis and Michael Gorzynski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26282A"/>
          <w:sz w:val="16"/>
        </w:rPr>
        <w:t>Previously Announced Additions Avram A. “Avie” Glazer and Shelly C. Lombard Will Also Begin Serving as Directors Immediately, With Mr.</w:t>
      </w:r>
    </w:p>
    <w:p>
      <w:pPr>
        <w:autoSpaceDN w:val="0"/>
        <w:tabs>
          <w:tab w:pos="240" w:val="left"/>
          <w:tab w:pos="2198" w:val="left"/>
          <w:tab w:pos="353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26282A"/>
          <w:sz w:val="16"/>
        </w:rPr>
        <w:t xml:space="preserve">Glazer to Serve as Chairman of the Board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26282A"/>
          <w:sz w:val="16"/>
        </w:rPr>
        <w:t xml:space="preserve">Recent Collaboration With Stockholders Will Result in More Than 50% of the Board Being Refreshed Following the 2020 Annual Meeting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26282A"/>
          <w:sz w:val="16"/>
        </w:rPr>
        <w:t xml:space="preserve">MG Capital Agrees to Withdraw its Consent Solicitation and Nomination Notice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YORK, May 14, 2020 (GLOBE NEWSWIRE)</w:t>
      </w:r>
      <w:r>
        <w:rPr>
          <w:w w:val="102.57812738418579"/>
          <w:rFonts w:ascii="TimesNewRomanPS" w:hAnsi="TimesNewRomanPS" w:eastAsia="TimesNewRomanPS"/>
          <w:b w:val="0"/>
          <w:i/>
          <w:color w:val="26282A"/>
          <w:sz w:val="16"/>
        </w:rPr>
        <w:t>—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HC2 Holdings, Inc. (“HC2” or the “Company”) (NYSE: HCHC), a diversified holding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MG Capital Management, Ltd. (together with Percy Rockdale LLC and Rio Royal LLC, “MG Capital”) today announced a settlement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reconstitute the Board of Directors (the “Board”). The agreement provides for the immediate appointment of four new members – Kenneth 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Courtis, Avram A. “Avie” Glazer, Michael Gorzynski and Shelly C. Lombard – who will also stand for election on HC2’s seven-member slate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2020 Annual Meeting of Stockholders (the “2020 Annual Meeting”) to be held on Wednesday, July 8, 2020.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immediately and through the Annual Meeting, the Board will expand from six members to ten members. The Board will be reduced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seven members following the 2020 Annual Meeting, resulting in more than 50% of the directors being refreshed based on engagement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stockholders. As part of the settlement agreement, MG Capital has also withdrawn its consent solicitation and nomination for election of directors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the 2020 Annual Meeting.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had previously announced the nominations of Mr. Glazer and Ms. Lombard for election at the 2020 Annual Meeting as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Board’s ongoing refreshment efforts and commitment to incorporating stockholder feedback and to enhancing value for all stockholders. They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appointed immediately along with MG Capital nominees, Mr. Courtis and Mr. Gorzynski, and Mr. Glazer will be appointed Chairman of the Board.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part of the reconstitution of the Board, three of the current directors – Robert V. Leffler, Jr., Lee S. Hillman and Julie Totman Springer –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announced that they will not stand for re-election at the 2020 Annual Meeting. The Company’s slate of director nominees will include Wayne Barr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Jr., Philip Falcone and Warren H. Gfeller, who will continue to serve as directors and stand for election at the 2020 Annual Meeting alongside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four newly-appointed directors.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Mr. Gfeller commented: “The Board is pleased to put the consent solicitation behind us and looks forward to working with the new directors.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pleased to welcome Avie, Ken, Mike and Shelly to the Board. Additionally, we thank Robert, Lee and Julie for their service and contributions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HC2. With these additions, we believe HC2 will be positioned to pursue its path of growth and innovation.”</w:t>
      </w:r>
    </w:p>
    <w:p>
      <w:pPr>
        <w:sectPr>
          <w:pgSz w:w="11900" w:h="16840"/>
          <w:pgMar w:top="5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Mr. Gorzynski added: “Ken and I want to thank the Board for carrying out HC2’s director refreshment process in a thoughtful manner. We no longer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view ourselves as MG Capital nominees, but rather HC2 directors firmly committed to advocating for stockholders’ best interests in the boardroom.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Our focus now is on working closely with the other directors to enhance stockholder value and seize new opportunities over the long term.”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terms of HC2’s agreements with MG Capital, JDS1, LLC and Lancer Capital LLC, each stockholder has individually agreed to abide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customary standstill and voting provisions. The agreements will be filed on a Form 8-K with the Securities and Exchange Commission.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Director Biographies: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Kenneth S. Courtis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a financial executive with more than 30 years of banking, investment management and board service experience. Since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January 2009, Mr. Courtis has served as the Chairman of Starfort Investment Holdings. Previously, he served as Vice Chairman and Managing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of Goldman Sachs, and Chief Economist and Investment Strategist of Deutsche Bank Asia. He received an undergraduate degree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Glendon College in Toronto and an MA in international relations from Sussex University in the United Kingdom. He earned an MBA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European Institute of Business Administration and received a Doctorate with honors and high distinction from l’Institut d’etudes politiques, Paris.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Avram A. “Avie” Glazer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the principal of Lancer Capital. In addition, he currently serves as Executive Co-Chairman and Director of Manchester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Plc (NYSE: MANU). Mr. Glazer served as President and Chief Executive Officer of Zapata Corporation, a U.S. public company between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March 1995 to July 2009 and Chairman of the board of Zapata Corporation from March 2002 to July 2009. In addition to his professional experience,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Mr. Glazer received a business degree from Washington University in St. Louis and received a law degree from American University, Washington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College of Law.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Michael Gorzynski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the Managing Member of MG Capital, an investment firm focused on complex value-oriented investments. Previously, 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invested in special situations globally at Third Point LLC, a large asset management firm, where he focused on macro, event-driven, distressed,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private investments across the capital structure. He is an expert in restructurings and in the insurance and banking industries, having participated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multiple large-scale bank and insurance company restructurings. He began his career at Credit Suisse First Boston in the technology 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banking group and at Spectrum Equity Investors a private equity fund in Boston. He earned a BA from the University of California, Berkeley,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an MBA from Harvard Business School.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Shelly C. Lombard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currently an independent consultant. From 2011 to 2014, she was the Director of High Yield and Distressed Research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Britton Hill Capital, a broker dealer specializing in high yield bank debt and bonds and value equities. From 2003 to 2010, Ms. Lombard was a high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yield bond analyst covering the automotive industry at Gimme Credit, a subscription bond research firm. From 1992 to 2001, she analyzed, managed,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was involved in the restructurings of proprietary investments for ING, Chase Manhattan Bank, Barclays Bank, and Credit Lyonnais. Ms.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Lombard began her career at Citibank in the leveraged buyout group. Ms. Lombard has an M.B.A. in finance from Columbia University.</w:t>
      </w:r>
    </w:p>
    <w:p>
      <w:pPr>
        <w:autoSpaceDN w:val="0"/>
        <w:autoSpaceDE w:val="0"/>
        <w:widowControl/>
        <w:spacing w:line="202" w:lineRule="exact" w:before="0" w:after="0"/>
        <w:ind w:left="6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Advisors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Jefferies LLC is serving as financial advisor to HC2, and Skadden, Arps, Slate, Meagher &amp; Flom LLP is serving as its legal advisor.</w:t>
      </w:r>
    </w:p>
    <w:p>
      <w:pPr>
        <w:autoSpaceDN w:val="0"/>
        <w:autoSpaceDE w:val="0"/>
        <w:widowControl/>
        <w:spacing w:line="164" w:lineRule="exact" w:before="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Kleinberg Kaplan is serving as MG Capital’s legal advisor.</w:t>
      </w:r>
    </w:p>
    <w:p>
      <w:pPr>
        <w:sectPr>
          <w:pgSz w:w="11900" w:h="16840"/>
          <w:pgMar w:top="5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2" w:lineRule="exact" w:before="38" w:after="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538135"/>
          <w:sz w:val="24"/>
        </w:rPr>
        <w:t xml:space="preserve">About HC2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HC2 Holdings, Inc. is a publicly traded (NYSE: HCHC) diversified holding company, which seeks opportunities to acquire and grow businesses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 generate long-term sustainable free cash flow and attractive returns in order to maximize value for all stakeholders. HC2 has a diverse array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subsidiaries across multiple reportable segments, including Construction, Energy, Telecommunications, Life Sciences, Broadcasting,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and Other. HC2’s largest operating subsidiary is DBM Global Inc., a family of companies providing fully integrated structural and steel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services. Founded in 1994, HC2 is headquartered in New York, New York. Learn more about HC2 and its portfolio companies at </w:t>
      </w:r>
      <w:r>
        <w:rPr>
          <w:u w:val="single" w:color="0463c0"/>
          <w:w w:val="102.57812738418579"/>
          <w:rFonts w:ascii="TimesNewRomanPSMT" w:hAnsi="TimesNewRomanPSMT" w:eastAsia="TimesNewRomanPSMT"/>
          <w:b w:val="0"/>
          <w:i w:val="0"/>
          <w:color w:val="0563C1"/>
          <w:sz w:val="16"/>
        </w:rPr>
        <w:t>www.hc2.com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404040"/>
          <w:sz w:val="16"/>
        </w:rPr>
        <w:t>.</w:t>
      </w:r>
    </w:p>
    <w:p>
      <w:pPr>
        <w:autoSpaceDN w:val="0"/>
        <w:autoSpaceDE w:val="0"/>
        <w:widowControl/>
        <w:spacing w:line="202" w:lineRule="exact" w:before="82" w:after="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538135"/>
          <w:sz w:val="24"/>
        </w:rPr>
        <w:t xml:space="preserve">Cautionary Statement Regarding Forward-Looking Statements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 Harbor Statement under the Private Securities Litigation Reform Act of 1995: This communication, and certain oral statements made by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from time to time may contain, forward-looking statements. Generally, forward-looking statements include information describing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actions, events, results, strategies and expectations and are generally identifiable by use of the words “believes,” “expects,” “intends,”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“anticipates,” “plans,” “seeks,” “estimates,” “projects,” “may,” “will,” “could,” “might” or “continues” or similar expressions. The forward-looking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in this communication include, without limitation, any statements regarding our expectations regarding building stockholder value,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cash flow, longer-term growth and invested assets, the timing or prospects of any refinancing of HC2’s remaining corporate debt,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regarding HC2’s expectations regarding entering definitive agreements in respect of the potential divestitures of Continental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DBM Global, reducing HC2’s leverage and related interest expense at the holding company level generally and with the net proceeds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divestitures, reducing corporate overhead, growth opportunities at HC2’s Broadcasting and Energy businesses and unlocking value at HC2’s Life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Sciences segment. Such statements are based on the beliefs and assumptions of HC2’s management and the management of HC2’s subsidiaries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portfolio companies. The Company believes these judgments are reasonable, but you should understand that these statements are not guarantees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performance or results, and the Company’s actual results could differ materially from those expressed or implied in the forward-looking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due to a variety of important factors, both positive and negative, that may be revised or supplemented in subsequent statements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 filed with the SEC, including in our reports on Forms 10-K, 10-Q and 8-K. Such important factors include, without limitation, issues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restatement of our financial statements; the fact that we have historically identified material weaknesses in our internal control over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reporting, and any inability to remediate future material weaknesses; capital market conditions, including the ability of HC2 and its subsidiaries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raise capital; the ability of HC2’s subsidiaries and portfolio companies to generate sufficient net income and cash flows to make upstream cash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distributions; volatility in the trading price of HC2’s common stock; the ability of HC2 and its subsidiaries and portfolio companies to identify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suitable future acquisition or disposition opportunities; our ability to realize efficiencies, cost savings, income and margin improvements, growth,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economies of scale and other anticipated benefits of strategic transactions; difficulties related to the integration of financial reporting of acquired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target businesses; difficulties completing pending and future acquisitions and dispositions; activities by activist stockholders, including a proxy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contest, consent solicitation or any unsolicited takeover proposal; effects of litigation, indemnification claims and other contingent liabilities;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in regulations and tax laws; the risks and uncertainties associated with, and resulting from, the COVID-19 pandemic; and risks that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 the performance of the operating subsidiaries and portfolio companies of the Company. Although HC2 believes its expectations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assumptions regarding its future operating performance are reasonable, there can be no assurance that the expectations reflected herein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achieved. These risks and other important factors discussed under the caption “Risk Factors” in our most recent Annual Report on Form 10-K filed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SEC, and our other reports filed with the SEC could cause actual results to differ materially from those indicated by the forward-looking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statements made in this communication.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should not place undue reliance on forward-looking statements. All forward-looking statements attributable to HC2 or persons acting on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are expressly qualified in their entirety by the foregoing cautionary statements. All such statements speak only as of the date hereof,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legally required, HC2 undertakes no obligation to update or revise publicly any forward-looking statements, whether as a result of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information, future events or otherwise.</w:t>
      </w:r>
    </w:p>
    <w:p>
      <w:pPr>
        <w:sectPr>
          <w:pgSz w:w="11900" w:h="16840"/>
          <w:pgMar w:top="518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4" w:lineRule="exact" w:before="36" w:after="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538135"/>
          <w:sz w:val="24"/>
        </w:rPr>
        <w:t xml:space="preserve">Important Additional Information and Where to Find It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HC2 plans to file a proxy statement (the “2020 Proxy Statement”), together with a proxy card, with the SEC, in connection with the solicitation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proxies for the 2020 Annual Meeting. STOCKHOLDERS ARE URGED TO READ THE 2020 PROXY STATEMENT (INCLUDING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AMENDMENTS OR SUPPLEMENTS THERETO) AND ANY OTHER RELEVANT DOCUMENTS THAT HC2 FILES WITH THE SEC CAREFULLY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THEIR ENTIRETY WHEN THEY BECOME AVAILABLE BECAUSE THEY WILL CONTAIN IMPORTANT INFORMATION.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will be able to obtain, free of charge, copies of the 2020 Proxy Statement, any amendments or supplements thereto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(including a proxy card) when filed by HC2 with the SEC in connection with the 2020 Annual Meeting at the SEC’s website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http://www.sec.gov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at HC2’s website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http://ir.hc2.com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by contacting Okapi Partners LLC by phone at (877) 629-6355, by email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info@okapipartners.com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by mail at 1212 Avenue of the Americas, 24th Floor, New York, New York 10036.</w:t>
      </w:r>
    </w:p>
    <w:p>
      <w:pPr>
        <w:autoSpaceDN w:val="0"/>
        <w:autoSpaceDE w:val="0"/>
        <w:widowControl/>
        <w:spacing w:line="202" w:lineRule="exact" w:before="82" w:after="0"/>
        <w:ind w:left="6" w:right="0" w:firstLine="0"/>
        <w:jc w:val="left"/>
      </w:pPr>
      <w:r>
        <w:rPr>
          <w:rFonts w:ascii="TimesNewRomanPS" w:hAnsi="TimesNewRomanPS" w:eastAsia="TimesNewRomanPS"/>
          <w:b/>
          <w:i w:val="0"/>
          <w:color w:val="538135"/>
          <w:sz w:val="24"/>
        </w:rPr>
        <w:t xml:space="preserve">Participants in the Solicitation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HC2, its directors and certain of its executive officers and employees may be deemed to be participants in the solicitation of proxies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in connection with the 2020 Annual Meeting. Additional information regarding the identity of these potential participants, none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whom (other than Philip A. Falcone, HC2’s President and Chief Executive Officer, and Avram A. Glazer, the Company’s Chairman of the Board) owns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excess of one percent (1%) of HC2’s shares, and their direct or indirect interests, by security holdings or otherwise, will be set forth in the 2020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Proxy Statement and other materials to be filed with the SEC in connection with the 2020 Annual Meeting. Information relating to the foregoing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be found in HC2’s Amendment No. 1 on Form 10-K (the “Form 10-K/A”), filed with the SEC on April 29, 2020. To the extent holdings of HC2’s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by such potential participants (or the identity of such participants) have changed since the information printed in the Form 10-K/A,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has been or will be reflected on Statements of Ownership and Change in Ownership on Forms 3 and 4 filed with the SEC.</w:t>
      </w:r>
    </w:p>
    <w:p>
      <w:pPr>
        <w:autoSpaceDN w:val="0"/>
        <w:autoSpaceDE w:val="0"/>
        <w:widowControl/>
        <w:spacing w:line="202" w:lineRule="exact" w:before="82" w:after="0"/>
        <w:ind w:left="2880" w:right="2880" w:firstLine="0"/>
        <w:jc w:val="center"/>
      </w:pPr>
      <w:r>
        <w:rPr>
          <w:rFonts w:ascii="TimesNewRomanPS" w:hAnsi="TimesNewRomanPS" w:eastAsia="TimesNewRomanPS"/>
          <w:b/>
          <w:i w:val="0"/>
          <w:color w:val="70AD47"/>
          <w:sz w:val="24"/>
        </w:rPr>
        <w:t xml:space="preserve">Contact: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HC2: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Investor Relations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Garrett Edson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ir@hc2.com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(212) 235-2691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MG Capital: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Greg Marose/Charlotte Kiaie, 347-343-2999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gmarose@profileadvisors.com/ckiaie@profileadvisors.com</w:t>
      </w:r>
    </w:p>
    <w:sectPr w:rsidR="00FC693F" w:rsidRPr="0006063C" w:rsidSect="00034616">
      <w:pgSz w:w="11900" w:h="16840"/>
      <w:pgMar w:top="518" w:right="980" w:bottom="144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