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90" w:val="left"/>
          <w:tab w:pos="9304" w:val="left"/>
        </w:tabs>
        <w:autoSpaceDE w:val="0"/>
        <w:widowControl/>
        <w:spacing w:line="196" w:lineRule="exact" w:before="88" w:after="0"/>
        <w:ind w:left="9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[*]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Certain confidential information contained in this document, marked by brackets, is omitted because it is both (i) not material and (ii) would be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competitively harmful if publicly disclosed.</w:t>
      </w:r>
    </w:p>
    <w:p>
      <w:pPr>
        <w:autoSpaceDN w:val="0"/>
        <w:autoSpaceDE w:val="0"/>
        <w:widowControl/>
        <w:spacing w:line="160" w:lineRule="exact" w:before="428" w:after="0"/>
        <w:ind w:left="0" w:right="424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SUPPLY AGREEMENT (this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is made this, 20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January, 2020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HOVIONE INTER AG,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its subsidiaries and affiliates, and organized and existing under the laws of Switzerland and having its registered office at Pilatusstrasse 23,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CH-6003, Luzern, Switzerland (hereafter referred to as “HOVIONE”), and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INTERSECT ENT, Inc.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its subsidiaries and affiliates, and organized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existing under the laws of Delaware and having its registered office at 1555 Adams Drive, Menlo Park, CA 94025 (hereafter referred to 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“INTERSECT”). HOVIONE and INTERSECT are each sometimes referred to herein as a “Party” and together as the “Parties.”</w:t>
      </w:r>
    </w:p>
    <w:p>
      <w:pPr>
        <w:autoSpaceDN w:val="0"/>
        <w:tabs>
          <w:tab w:pos="992" w:val="left"/>
        </w:tabs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HOVIONE has developed and manufacturers the active pharmaceutical ingredient(s)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58" w:lineRule="exact" w:before="234" w:after="0"/>
        <w:ind w:left="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INTERSECT develops and markets Finished Product based on the API, as defined herein; and</w:t>
      </w:r>
    </w:p>
    <w:p>
      <w:pPr>
        <w:autoSpaceDN w:val="0"/>
        <w:autoSpaceDE w:val="0"/>
        <w:widowControl/>
        <w:spacing w:line="158" w:lineRule="exact" w:before="234" w:after="0"/>
        <w:ind w:left="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INTERSECT desires to acquire API from HOVIONE to incorporate into the Finished Product; and</w:t>
      </w:r>
    </w:p>
    <w:p>
      <w:pPr>
        <w:autoSpaceDN w:val="0"/>
        <w:autoSpaceDE w:val="0"/>
        <w:widowControl/>
        <w:spacing w:line="160" w:lineRule="exact" w:before="234" w:after="0"/>
        <w:ind w:left="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HOVIONE is willing to supply such API for INTERSECT’s use, on the terms and conditions set forth in this Agreement.</w:t>
      </w:r>
    </w:p>
    <w:p>
      <w:pPr>
        <w:autoSpaceDN w:val="0"/>
        <w:tabs>
          <w:tab w:pos="588" w:val="left"/>
          <w:tab w:pos="1176" w:val="left"/>
        </w:tabs>
        <w:autoSpaceDE w:val="0"/>
        <w:widowControl/>
        <w:spacing w:line="196" w:lineRule="exact" w:before="196" w:after="0"/>
        <w:ind w:left="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promises and the mutual covenants set forth herein and for other good and valuable consideration,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and sufficiency of which are hereby acknowledged, the Parties hereby agree and covenant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ons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1.1.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6"/>
        </w:rPr>
        <w:t>“Active Pharmaceutical Ingredient” or “API” shall have the meaning given such term in the preamble hereof.</w:t>
      </w:r>
    </w:p>
    <w:p>
      <w:pPr>
        <w:autoSpaceDN w:val="0"/>
        <w:tabs>
          <w:tab w:pos="1176" w:val="left"/>
        </w:tabs>
        <w:autoSpaceDE w:val="0"/>
        <w:widowControl/>
        <w:spacing w:line="208" w:lineRule="exact" w:before="0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“Affiliate” means any entity controlling, controlled by or under common control with either Party hereto. For purpose of this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definition, “control” shall mean ownership of over fifty percent (50%) of the equity capital, the outstanding voting securities or other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ownership interest of an entity, or the right to receive over fifty percent (50%) of the profits or earnings of an entity. In the case of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non-stock organizations, the term “control” shall mean the power to control the distribution of profits.</w:t>
      </w:r>
    </w:p>
    <w:p>
      <w:pPr>
        <w:autoSpaceDN w:val="0"/>
        <w:tabs>
          <w:tab w:pos="1176" w:val="left"/>
        </w:tabs>
        <w:autoSpaceDE w:val="0"/>
        <w:widowControl/>
        <w:spacing w:line="208" w:lineRule="exact" w:before="0" w:after="0"/>
        <w:ind w:left="58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“Applicable Law” shall mean the laws, regulations, rules and guidelines pertaining to the development, manufacture, packaging,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labeling, storage, import, export, distribution, marketing, sale and/or intended use of the API or the Finished Product.</w:t>
      </w:r>
    </w:p>
    <w:p>
      <w:pPr>
        <w:autoSpaceDN w:val="0"/>
        <w:tabs>
          <w:tab w:pos="1176" w:val="left"/>
        </w:tabs>
        <w:autoSpaceDE w:val="0"/>
        <w:widowControl/>
        <w:spacing w:line="208" w:lineRule="exact" w:before="0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“Batch Record” shall mean a batch manufacturing record, prepared according to applicable cGMP guidelines, for every production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batch of API.</w:t>
      </w:r>
    </w:p>
    <w:p>
      <w:pPr>
        <w:autoSpaceDN w:val="0"/>
        <w:tabs>
          <w:tab w:pos="1176" w:val="left"/>
        </w:tabs>
        <w:autoSpaceDE w:val="0"/>
        <w:widowControl/>
        <w:spacing w:line="208" w:lineRule="exact" w:before="0" w:after="0"/>
        <w:ind w:left="5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“Confidential Information” shall mean all the technical information, whether tangible or intangible, including (without limitation)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any and all data, techniques, discoveries, inventions, processes, know-how, patent applications, inventor certificates, trade secrets,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methods of production and other proprietary information, that either Party or its Affiliates have ownership rights to (as either owner,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licensee or sub-licensee), or may hereafter obtain rights.</w:t>
      </w:r>
    </w:p>
    <w:p>
      <w:pPr>
        <w:autoSpaceDN w:val="0"/>
        <w:autoSpaceDE w:val="0"/>
        <w:widowControl/>
        <w:spacing w:line="158" w:lineRule="exact" w:before="50" w:after="0"/>
        <w:ind w:left="0" w:right="49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</w:tabs>
        <w:autoSpaceDE w:val="0"/>
        <w:widowControl/>
        <w:spacing w:line="210" w:lineRule="exact" w:before="7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“Current Good Manufacturing Practices” or “cGMP” shall mean current Good Manufacturing Practice as set forth by the US FDA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as well as current good manufacturing practices applicable to the API, or the making thereof at HOVIONE’s manufacturing facility,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set forth by the relevant Regulatory Agency.</w:t>
      </w:r>
    </w:p>
    <w:p>
      <w:pPr>
        <w:autoSpaceDN w:val="0"/>
        <w:tabs>
          <w:tab w:pos="1096" w:val="left"/>
        </w:tabs>
        <w:autoSpaceDE w:val="0"/>
        <w:widowControl/>
        <w:spacing w:line="160" w:lineRule="exact" w:before="4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“Defect” with respect to the API shall mean failure of the API to comply with the Product Specifications.</w:t>
      </w:r>
    </w:p>
    <w:p>
      <w:pPr>
        <w:autoSpaceDN w:val="0"/>
        <w:tabs>
          <w:tab w:pos="1096" w:val="left"/>
        </w:tabs>
        <w:autoSpaceDE w:val="0"/>
        <w:widowControl/>
        <w:spacing w:line="160" w:lineRule="exact" w:before="48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“FDA shall mean the US Food and Drug Administration, and any successor thereto.</w:t>
      </w:r>
    </w:p>
    <w:p>
      <w:pPr>
        <w:autoSpaceDN w:val="0"/>
        <w:tabs>
          <w:tab w:pos="1096" w:val="left"/>
        </w:tabs>
        <w:autoSpaceDE w:val="0"/>
        <w:widowControl/>
        <w:spacing w:line="208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“Finished Product” shall mean the finished dosage form combination drug and device product that contains the API ready for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clinical use or commercial sale.</w:t>
      </w:r>
    </w:p>
    <w:p>
      <w:pPr>
        <w:autoSpaceDN w:val="0"/>
        <w:tabs>
          <w:tab w:pos="1096" w:val="left"/>
        </w:tabs>
        <w:autoSpaceDE w:val="0"/>
        <w:widowControl/>
        <w:spacing w:line="160" w:lineRule="exact" w:before="48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“Firm Forecast” shall have the meaning given to such term in Section 3.2 hereof.</w:t>
      </w:r>
    </w:p>
    <w:p>
      <w:pPr>
        <w:autoSpaceDN w:val="0"/>
        <w:tabs>
          <w:tab w:pos="1096" w:val="left"/>
        </w:tabs>
        <w:autoSpaceDE w:val="0"/>
        <w:widowControl/>
        <w:spacing w:line="158" w:lineRule="exact" w:before="5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“Product Specifications” shall have the meaning given to such term in Section 2.2 hereof.</w:t>
      </w:r>
    </w:p>
    <w:p>
      <w:pPr>
        <w:autoSpaceDN w:val="0"/>
        <w:autoSpaceDE w:val="0"/>
        <w:widowControl/>
        <w:spacing w:line="160" w:lineRule="exact" w:before="38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“Quality Agreement” shall mean that certain Quality Assurance Agreement, dated of even date herewith, by and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1.12.</w:t>
      </w:r>
    </w:p>
    <w:p>
      <w:pPr>
        <w:autoSpaceDN w:val="0"/>
        <w:autoSpaceDE w:val="0"/>
        <w:widowControl/>
        <w:spacing w:line="208" w:lineRule="exact" w:before="0" w:after="0"/>
        <w:ind w:left="1096" w:right="144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INTERSECT and HOVIONE, which sets forth (a) the roles and responsibilities of the Parties with respect to the quality assurance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for the API and (b) how the Parties’ quality operations shall interact with each other in connection with the same.</w:t>
      </w:r>
    </w:p>
    <w:p>
      <w:pPr>
        <w:autoSpaceDN w:val="0"/>
        <w:tabs>
          <w:tab w:pos="1096" w:val="left"/>
        </w:tabs>
        <w:autoSpaceDE w:val="0"/>
        <w:widowControl/>
        <w:spacing w:line="208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“Regulatory Agency” shall mean national, or other government entities regulating or otherwise exercising authority with respect to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the API or the Finished Product in the United States including, without limitation, the US FDA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1.14.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“Term” shall have the meaning assigned to such term in Section 10.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1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Manufacture and Sale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 and subject to the terms and conditions set forth herein, INTERSECT shall purchase [*] of its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API requirement, from HOVIONE and HOVIONE shall manufacture and supply API to INTERSECT (or a third party designated by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INTERSECT) in such quantities as from time to time may be ordered by INTERSECT.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specifications of the API as set out in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as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Exhibit may be amended according to the terms of the quality agreement between the parties.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HOVIONE shall be responsible for all costs and expenses related to the maintenance of a US DMF or European CEP for the API.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submissions, technical work, documents, data or materials requested by INTERSECT may be chargeable by HOVIONE.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0" w:after="0"/>
        <w:ind w:left="1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Price, Orders and Terms of Payment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price for the API shall be as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All sums shall be expressed in and payable in US Dollars.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each calendar year during the term of this Agreement, INTERSECT shall submit a twelve (12) month rolling forecast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updated on a quarterly basis, broken down on a quarterly basis covering INTERSECT’s anticipated requirements of API, each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to be provided to HOVIONE at least ninety (90) days prior to the start of the relevant twelve (12) month period. The rolling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shall be for information purposes only and non- binding so long as the INTERSECT provides a blanket purchase order covering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demand for the next six (6) months. In the case that INTERSECT does not provide a blanket purchase order, the forecast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binding. INTERSECT shall place all purchase orders with HOVIONE at least ninety (90) days in advance of required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INTERSECT. Within five (5) days of receipt of a purchase order, HOVIONE shall notify INTERSECT in writing of its acceptance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and confirm the delivery date. If the purchase order exceeds the Firm Forecasted amount, HOVIONE shall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efforts to fill such order but shall not be in breach of this Agreement if HOVIONE does not supply the excess.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84" w:after="0"/>
        <w:ind w:left="50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purchase order shall specify: (i) an identification of the API ordered; (ii) quantity requested; (iii) the requested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date; and (iv) shipping instructions and address. HOVIONE agrees to deliver the API DDP Menlo Park, CA USA (Incoterms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2010).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HOVIONE shall invoice INTERSECT upon dispatch of the API. INTERSECT shall pay the price to HOVIONE for API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within thirty (30) calendar days of the date of invoice of such API. Payments shall be made to HOVIONE by wire transfer.</w:t>
      </w:r>
    </w:p>
    <w:p>
      <w:pPr>
        <w:autoSpaceDN w:val="0"/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 of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no event shall any terms or conditions included on any purchase order, invoice or acknowledgement thereof or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4.5.</w:t>
      </w:r>
    </w:p>
    <w:p>
      <w:pPr>
        <w:autoSpaceDN w:val="0"/>
        <w:autoSpaceDE w:val="0"/>
        <w:widowControl/>
        <w:spacing w:line="196" w:lineRule="exact" w:before="0" w:after="0"/>
        <w:ind w:left="10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document, whether paper, electronic or otherwise, relating thereto, apply to the relationship between the Parties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unless such terms are expressly agreed to by the Parties in writing. If there is a conflict between the terms of any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or other document and this Agreement, the terms of this agreement shall apply. The Parties further agree that no course of dealing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shall in any way modify, change or supersede the terms and conditions of this Agreement.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 and Delivery of API.</w:t>
      </w:r>
    </w:p>
    <w:p>
      <w:pPr>
        <w:autoSpaceDN w:val="0"/>
        <w:autoSpaceDE w:val="0"/>
        <w:widowControl/>
        <w:spacing w:line="160" w:lineRule="exact" w:before="3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API shall be manufactured by HOVIONE at its facilities in accordance with all relevant current Good Manufacturing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5.1.</w:t>
      </w:r>
    </w:p>
    <w:p>
      <w:pPr>
        <w:autoSpaceDN w:val="0"/>
        <w:autoSpaceDE w:val="0"/>
        <w:widowControl/>
        <w:spacing w:line="196" w:lineRule="exact" w:before="0" w:after="0"/>
        <w:ind w:left="10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Practices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cGMPs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the Specifications, and Applicable Laws, and pursuant to HOVIONE’s Drug Master File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DMF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prepared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and filed with the US FDA. HOVIONE shall advise INTERSECT in writing in advance of making any changes to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or any material changes in the methods, processes or procedures in manufacturing the API that could affect the quality,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purity and/or physical properties of the API, any changes will be made according to the terms of the quality agreement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HOVIONE shall provide sufficient notice of any such change to INTERSECT to allow INTERSECT to make any required notices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and obtain any required approvals from any Regulatory Agency with respect to such change.</w:t>
      </w:r>
    </w:p>
    <w:p>
      <w:pPr>
        <w:autoSpaceDN w:val="0"/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Audit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See Quality Agreement.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5.2.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 of Analysis; Product Release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quality control(s) and the release(s) of API (including documentation) shall be done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in accordance with the Quality Agreement. HOVIONE shall provide certificates of analysis to INTERSECT for each batch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API delivered under this Agreement. API shall have at least [*] remaining on the date of delivery.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HOVIONE shall assist and cooperate in a timely manner INTERSECT in its preparation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documents or other materials which may be required by the US FDA to validate sell and/or distribute the API to be supplied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under this Agreement or the Finished Product. HOVIONE shall file with the US FDA and shall maintain at all times as current,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DMF for the API. HOVIONE shall also provide INTERSECT with a referral letter permitting INTERSECT to use HOVIONE’s DMF.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Required Changes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INTERSECT shall deliver to HOVIONE written notice of any required changes to the Product Specifications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the Regulatory Authorities, and HOVIONE shall use its commercially reasonable efforts to make such changes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Specifications. If any change to Product Specifications requested by INTERSECT materially affects HOVIONE’s costs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producing the API, then HOVIONE shall promptly so inform INTERSECT in writing and the Parties shall negotiate, in good faith,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 to the pricing paid by INTERSECT for API under this Agreement. If the Parties cannot mutually agree, following good faith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negotiations, on an equitable adjustment to pricing, then either HOVIONE or INTERSECT may terminate this Agreement for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reasons on not less than ninety (90) days prior written notice, without any further obligation to the other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INTERSECT shall remain liable for all sums owed to HOVIONE for orders of API that were placed prior to the date of termination.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 of API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thirty (30) calendar days of the arrival of each lot of API at the manufacturing facility designated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INTERSECT, INTERSECT shall inspect and test each lot of API at its own cost and expense. If, upon inspecting and testing the API,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INTERSECT determines that a lot of API does not conform to the Product Specifications, then INTERSECT shall, within such thirty (30)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period, give HOVIONE written notice of such non-conformity (setting forth the details of such non-conformity):Unless HOVIONE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objects, within 20 working days from the notice by INTERSECT, to the non-conformity INTERSECT will return the non-conforming API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HOVIONE. Any API rejected by INTERSECT may not be reshipped to INTERSECT except if the API is reprocessed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DMF. HOVIONE sole responsibility shall be to replace any non-conforming API within thirty (30) days of receiving the notice of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conformity. Disputes between the Parties as to whether all or any part of a shipment rejected by INTERSECT materially conforms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Specifications shall be resolved by a mutually acceptable third-party testing laboratory located in a neutral country. HOVIONE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all the fees of the third-party laboratory, unless the third-party testing laboratory determines that the delivered API materially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conforms to the Product Specifications, in which case INTERSECT shall pay all the fees of such third-party laboratory and also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costs that HOVIONE incurred in providing replacement material.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Communications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HOVIONE shall notify INTERSECT after receipt of any communication from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Regulatory Agency in connection or that can affect INTERSECT Marketing Authorization.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HOVIONE has no control over the ultimate use of the Finished Product once it leaves INTERSECT’s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facility. HOVIONE shall have no liability arising out of or in connection with the sale or use of the API or any product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made from or incorporating the API, except to the extent that the API was not manufactured in accordance with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Specifications, cGMPs or Applicable Law or the liability otherwise arises from a breach of this Agreement by HOVIONE.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INTERSECT shall be responsible for conducting any recall of Finished Product, and HOVIONE shall co-operate with and give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assistance to INTERSECT in conducting any such recall to the extent it relates to the API. HOVIONE shall bear the expense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recall resulting from a material breach of its obligations hereunder and/or of the Quality Agreement and/or from its gross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 or willful misconduct subject to the limits set out in 8.4. Otherwise, INTERSECT shall bear such expenses. In the event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recall or similar action, each Party shall use commercially reasonable efforts to mitigate the costs associated therewith. In the case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disagreement as to the existence or level of nonconforming API, then the matter shall be referred to an independent third-party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laboratory. The decision of the laboratory shall be final and binding on the Parties.</w:t>
      </w:r>
    </w:p>
    <w:p>
      <w:pPr>
        <w:autoSpaceDN w:val="0"/>
        <w:tabs>
          <w:tab w:pos="1096" w:val="left"/>
        </w:tabs>
        <w:autoSpaceDE w:val="0"/>
        <w:widowControl/>
        <w:spacing w:line="194" w:lineRule="exact" w:before="4" w:after="0"/>
        <w:ind w:left="50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Retention of Documentation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documentation related to the manufacturing of the API shall be archived with HOVIONE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manufacturing in accordance with HOVIONE’s document retention policies.</w:t>
      </w:r>
    </w:p>
    <w:p>
      <w:pPr>
        <w:autoSpaceDN w:val="0"/>
        <w:tabs>
          <w:tab w:pos="1096" w:val="left"/>
        </w:tabs>
        <w:autoSpaceDE w:val="0"/>
        <w:widowControl/>
        <w:spacing w:line="194" w:lineRule="exact" w:before="4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Safety of API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immediately notify the other Party of any unusual health or environmental occurrence relating to API.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Party shall advise the other Party immediately of any safety or toxicity problems of which it becomes aware regarding API.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Warranties.</w:t>
      </w:r>
    </w:p>
    <w:p>
      <w:pPr>
        <w:autoSpaceDN w:val="0"/>
        <w:tabs>
          <w:tab w:pos="1096" w:val="left"/>
          <w:tab w:pos="1318" w:val="left"/>
          <w:tab w:pos="1808" w:val="left"/>
          <w:tab w:pos="4982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HOVIONE’s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HOVIONE represents and warrants to INTERSECT that: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has full right and power to enter into this Agreement and perform its obligations hereunder in accordance with its terms;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API and all components and ingredients thereof shall be manufactured and delivered in strict compliance with: (i)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Specifications; (ii) the methods processes and procedures, including the site manufacture, set forth in the DMF,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all applicable regulatory requirements relating to the manufacture of the API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  <w:tab w:pos="1318" w:val="left"/>
          <w:tab w:pos="1808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plant(s) for manufacture of the API is and shall be in compliance with all applicable cGMPs and that such plant(s) is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continue to be available for inspection if and when the Regulatory Authorities so requests;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INTERSECT’s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INTERSECT represents and warrants to HOVIONE that: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has the full right and power to enter into this Agreement and perform its obligations hereunder in accordance with its terms;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it will purchase the API in strict compliance with the terms of this agreement. as set forth under Section 2.1 and 2.1.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4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NEITHER PARTY MAKES ANY REPRESENTATION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EXTENDS ANY WARRANTY OF ANY KIND, EITHER EXPRESS OR IMPLIED INCLUDING, BUT NOT LIMITED TO, WARRANTIES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MERCHANTABILITY, FITNESS FOR A PARTICULAR PURPOSE OR NON-INFRINGEMENT.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represents and warrants to the other party that it holds all necessary and required permits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authorizations, including, but not limited to, those required by the FDA, and shall undertake throughout the term of this Agreement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same in full force and effect. Each party further covenants that it shall use commercially reasonable efforts to obtain all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permits and authorizations as may be reasonably required from time to time in either case to operate their respective facilities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businesses in order to manufacture, provide, distribute and/or sell API hereunder.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to retain in confidence all Confidential Information disclosed to it pursuant to this Agreement,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 occurred before or after the date hereof. Disclosed information shall not be deemed Confidential Information hereunder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if: (a) it is now or later becomes publicly known, other than through the fault of the receiving party; (b) it is lawfully known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 to the receiving party at the time of disclosure as evidenced by written documentation; (c) it is rightfully obtained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from a third party without restriction and without breach of this Agreement or any similar agreement; and/or (d) it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 developed by the receiving party without access to the disclosing party’s information, as evidenced by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documentation. If either Party is required under Applicable Law to disclose Confidential Information by any court or to any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Agency, the Party required disclosing the Confidential Information shall, prior to such disclosure, notifying the other Party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and all particulars related to such requirement. The notified Party shall have the right, at its expense, to object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and to seek confidential treatment of any Confidential Information to be so disclosed on such terms as it shall determine,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shall fully cooperate with the notified Party in this regard. The confidentiality of disclosed Confidential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 of confidentiality hereunder shall survive any expiration or termination of this Agreement for a period of ten years.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specifically agree that all terms of this Agreement, all sales and API requirements and costs and all purchase orders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deemed to be confidential.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Separate Confidentiality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the Parties entered into one or more separate confidentiality agreements or non-disclosure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agreements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such Confidentiality Agreement(s) shall be and remain in full force and effect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therein. In the event of any conflict between the terms of this Agreement and the terms of any such Confidentiality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terms of such Confidentiality Agreement shall control.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Agreement, no party hereto shall issue or release, directly or indirectly, any press release,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material or other communication to or for the media or the public that pertains to this Agreement, the API, the Finished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the transactions contemplated hereby (collectively,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unless the content of such Press Release has been approved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other party hereto, such approval not to be unreasonably withheld or delayed;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nothing contained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prevent or preclude any party from making such disclosures as may be required by applicable law, including,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limited to, any disclosures required applicable securities laws.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INTERSECT shall indemnify, defend and hold HOVIONE and its officers, directors, affiliates, agents and employees harmless from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claims, demands, costs, expenses, losses, liabilities and/or damages (including, but not limited to,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fees) of every kind and nature caused by, arising out of or resulting from INTERSECT’s negligence relating to, or breach of,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any claim for personal or bodily injury arising from the use of the Finished Product or any substance, dosage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 or compound manufactured therefrom;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no event shall this Section apply to any claim covered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 8.2 below.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shall indemnify, defend and hold INTERSECT and its officers, directors, affiliates, agents and employees harmless from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claims, demands, costs, expenses, losses, liabilities and/or damages (including, but not limited to,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 and court costs) of every kind and nature caused by, arising out of or resulting from HOVIONE’s negligence relating 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breach of, this Agreement and any claim for personal or bodily injury arising from the manufacture and/or distribution of API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HOVIONE. This indemnification obligation does not apply to any claim for personal or bodily injury arising from the use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of the API except to the extent such injury is attributable to a Defect in the API arising out of HOVIONE’s gross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negligence, willful misconduct, or failure to manufacture and deliver the API in accordance with the Product Specifications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promptly notify the other of any actual or threatened judicial or other proceedings which could involve either or both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Each party reserves the right to defend itself in any such proceedings;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if indemnity is sought,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from whom indemnity is sought shall have the right to control the defense of the claim, and the indemnified party may participate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counsel of its choice at its own expense. The Parties shall cooperate with each other to the extent reasonably necessary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all actual or potential liability claims and in any other litigation relating to the API supplied pursuant to this Agreement.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will supply information to the other relevant to any product liability claims and litigation affecting the API and/or the Finished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Product, as the case may be.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AGREEMENT TO THE CONTRARY, IN NO EVENT WILL EITHER PARTY BE LIABLE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SPECIAL, INCIDENTAL, CONSEQUENTIAL OR INDIRECT DAMAGES ARISING OUT OF THIS AGREEMENT, HOWEVER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AND ON ANY THEORY OF LIABILITY. THIS LIMITATION WILL APPLY EVEN IF THE OTHER PARTY HAS BEEN ADVISED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POSSIBILITY OF SUCH DAMAGE;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LIMITATION WILL NOT APPLY TO DAMAGES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BREACHES BY A PARTY OF ITS DUTY OF CONFIDENTIALITY AND NON-USE IMPOSED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OR THE CONFIDENTIALITY AGREEMENT OR SUCH PARTY’S INDEMNIFICATION OBLIGATIONS STATED ABOVE.</w:t>
      </w:r>
    </w:p>
    <w:p>
      <w:pPr>
        <w:autoSpaceDN w:val="0"/>
        <w:autoSpaceDE w:val="0"/>
        <w:widowControl/>
        <w:spacing w:line="196" w:lineRule="exact" w:before="0" w:after="0"/>
        <w:ind w:left="10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AND NOTWITHSTANDING ANYTHING TO THE CONTRARY IN THIS AGREEMENT, THE TOTAL LIABILITY PER YEAR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HOVIONE SHALL BE LIMITED TO THE VALUE OF THE REVENUES COLLECTED IN THE PREVIOUS CONTRACTUAL YEAR.</w:t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Insurance.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Parties otherwise agree in writing, the following terms shall apply: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and for a period [*] after any expiration or termination of this Agreement, each of INTERSECT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shall maintain in full force and effect a comprehensive general liability insurance policy, including Products Liability coverage,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minimum limits of [*] for bodily injury including death.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  <w:tab w:pos="1096" w:val="left"/>
        </w:tabs>
        <w:autoSpaceDE w:val="0"/>
        <w:widowControl/>
        <w:spacing w:line="196" w:lineRule="exact" w:before="84" w:after="0"/>
        <w:ind w:left="18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 and Termination.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Term.</w:t>
      </w:r>
    </w:p>
    <w:p>
      <w:pPr>
        <w:autoSpaceDN w:val="0"/>
        <w:autoSpaceDE w:val="0"/>
        <w:widowControl/>
        <w:spacing w:line="196" w:lineRule="exact" w:before="196" w:after="18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terminated in accordance with the provisions of Section 10.2 below, the term of this Agreement shall commence on the Effective Date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continue in effect for a FIVE (5) year period.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347"/>
        <w:gridCol w:w="3347"/>
        <w:gridCol w:w="3347"/>
      </w:tblGrid>
      <w:tr>
        <w:trPr>
          <w:trHeight w:hRule="exact" w:val="178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2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10.2.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Grounds for Termination.</w:t>
            </w:r>
          </w:p>
        </w:tc>
      </w:tr>
      <w:tr>
        <w:trPr>
          <w:trHeight w:hRule="exact" w:val="216"/>
        </w:trPr>
        <w:tc>
          <w:tcPr>
            <w:tcW w:type="dxa" w:w="3347"/>
            <w:vMerge/>
            <w:tcBorders/>
          </w:tcPr>
          <w:p/>
        </w:tc>
        <w:tc>
          <w:tcPr>
            <w:tcW w:type="dxa" w:w="3347"/>
            <w:vMerge/>
            <w:tcBorders/>
          </w:tcPr>
          <w:p/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Either party shall have the right to terminate this Agreement upon the occurrence of any of the following events: (i) the failure of the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to comply with any of the terms of this Agreement or otherwise discharge its duties hereunder in any material respect,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 by the other party of any of its representations or warranties herein in any material respect, if such failure or breach is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cured within ninety (90) days of such breaching party’s receipt of written notice specifying the nature of such failure or breach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particularity; or (ii) the making by the other party of an assignment for the benefit of its creditors, or the filing by or against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any petition under any federal, state or local bankruptcy, insolvency or similar laws, if such filing has not been stayed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dismissed within sixty (60) days after the date thereof.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INTERSECT shall also have the right to suspend further performance under this Agreement and/or terminate this agreement in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entirety, without liability except for unpaid previously delivered API that conforms with the terms hereof, if: (i) HOVIONE loses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approval(s) from the US FDA required to perform its obligations under this Agreement or if HOVIONE is involved in felonious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fraudulent activities.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shall also have the right to suspend further performance under this Agreement, terminate this Agreement and demand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if INTERSECT fails to comply with any of the terms and conditions of this Agreement; provided, however, that if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is disputed by INTERSECT in good faith, HOVIONE shall not have the right to terminate this Agreement with respect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dispute until such dispute is adjudicated in favor of HOVIONE in accordance with Section 14.6.</w:t>
      </w:r>
    </w:p>
    <w:p>
      <w:pPr>
        <w:autoSpaceDN w:val="0"/>
        <w:tabs>
          <w:tab w:pos="1096" w:val="left"/>
          <w:tab w:pos="1108" w:val="left"/>
          <w:tab w:pos="1906" w:val="left"/>
          <w:tab w:pos="1918" w:val="left"/>
          <w:tab w:pos="261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Obligations on Termination: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10.5.1.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 HOVIONE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 pursuant to this Section 10, HOVIONE will not perform any further work,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the following: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10.5.1.1.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perform only those services and other activities mutually agreed upon by INTERSECT and HOVIONE as being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or advisable to comply with issued and paid for purchase orders;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10.5.1.2.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promptly return all Confidential Information of INTERSECT that it has received pursuant to this Agreement.</w:t>
      </w:r>
    </w:p>
    <w:p>
      <w:pPr>
        <w:autoSpaceDN w:val="0"/>
        <w:tabs>
          <w:tab w:pos="1906" w:val="left"/>
          <w:tab w:pos="1918" w:val="left"/>
          <w:tab w:pos="2616" w:val="left"/>
        </w:tabs>
        <w:autoSpaceDE w:val="0"/>
        <w:widowControl/>
        <w:spacing w:line="196" w:lineRule="exact" w:before="0" w:after="0"/>
        <w:ind w:left="11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10.5.2.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 INTERSECT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 pursuant to this Section 10, COMPANY will: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10.5.2.1.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promptly pay HOVIONE any monies due and owing HOVIONE, up to the time of termination, for API actually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manufactured, all authorized expenses actually incurred and any uncancellable commitments made by HOVIONE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scope of this Agreement; and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10.5.2.2.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promptly return all Confidential Information of HOVIONE that it has received pursuant to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Continuing Obligations; 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no event shall any termination or expiration of this Agreement excuse either party from any breach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this Agreement and full legal and equitable remedies shall remain available therefore, nor shall it excuse either party from making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payment due under this Agreement with respect to any period prior to the date of expiration or termination.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to Consummate; 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each of the Parties hereto agrees to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do all things necessary, proper or advisable under this Agreement, applicable laws and regulations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 and make effective the transactions contemplated hereby. If, at any time after the date hereof, any further action is necessary, proper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advisable to carry out the purposes of this Agreement, then, as soon as is reasonably practicable, each party to this Agreement shall take,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cause its proper officers to take, such action.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delay in the performance of any of the duties or obligations of either party hereto (except for the payment of money) caused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 event outside the affected party’s reasonable control shall not be considered a breach of this Agreement and the time required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shall be extended for a period equal to the period of such delay. Such events shall include, but will not be limited to, acts of God, acts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public enemy, acts of terrorism, insurrections, riots, injunctions, embargoes, fires, explosions, floods, or other unforeseeable causes beyond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reasonable control and without the fault or negligence of the Party so affected. The Party so affected shall give prompt written notice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of such event. The suspension of performance shall be of no greater scope and no longer duration than is reasonably required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nonperforming Party shall use its commercially reasonable efforts to remedy its inability to perform; provided, however, that in the event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suspension of performance continues for sixty (60) days after the date of the occurrence, and such failure to perform would constitute a 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in the absence of such force majeure event, the no affected Party may terminate this Agreement immediately by written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notice to the affected Party.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Provisions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 nor any interest herein may be assigned, in whole or in part, by either party without the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other, which consent shall not be unreasonably withheld or delayed, except that either party may assign its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Agreement: (a) to an affiliate, division or subsidiary of such party; and/or (b) to any third party that acquires all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stock or assets of such party, whether by asset sale, stock sale, merger or otherwise, and, in any such event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 shall assume the transferring party’s obligations hereunder. However, notwithstanding any such assignment, in the case of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to an affiliate, division or subsidiary, the transferring party shall remain liable under this Agreement (in addition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transferee) unless such liability is specifically waived in writing by the other party hereto. Subject to the foregoing, this Agreement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binding upon and inure to the benefit of the Parties hereto, and their respective successors and permitted assigns.</w:t>
      </w:r>
    </w:p>
    <w:p>
      <w:pPr>
        <w:autoSpaceDN w:val="0"/>
        <w:tabs>
          <w:tab w:pos="2004" w:val="left"/>
        </w:tabs>
        <w:autoSpaceDE w:val="0"/>
        <w:widowControl/>
        <w:spacing w:line="196" w:lineRule="exact" w:before="0" w:after="0"/>
        <w:ind w:left="15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Buyout.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case that either company is acquired by, or merges with, another company which has reason to not wish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the relationship, that company may make a contract buyout payment [*] for the [*], with a [*] buyout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amount of [*].</w:t>
      </w:r>
    </w:p>
    <w:p>
      <w:pPr>
        <w:autoSpaceDN w:val="0"/>
        <w:tabs>
          <w:tab w:pos="1096" w:val="left"/>
          <w:tab w:pos="1330" w:val="left"/>
          <w:tab w:pos="5228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or request required or permitted to be given under or in connection with this Agreement shall be deemed to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sufficiently given if in writing and sent by: (a) personal delivery against a signed receipt therefore, (b) certified mail, return receipt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first class postage prepaid, (c) nationally recognized overnight delivery service (signature required), (d) confirmed facsimile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transmission, or (e) electronic mail (with any notices to send by facsimile transmission or electronic mail to also be sent by one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methods set forth in this Section), addressed as 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HOVIONE, then to: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Hovione FarmaCiencia SA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Estrada do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Paco do Lumiar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Campus do Lumiar, Edificio 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1649-038 Lisboa, Portugal</w:t>
      </w:r>
    </w:p>
    <w:p>
      <w:pPr>
        <w:autoSpaceDN w:val="0"/>
        <w:tabs>
          <w:tab w:pos="5228" w:val="left"/>
        </w:tabs>
        <w:autoSpaceDE w:val="0"/>
        <w:widowControl/>
        <w:spacing w:line="196" w:lineRule="exact" w:before="208" w:after="36"/>
        <w:ind w:left="133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copy, sent as provided herein,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gc@hovione.com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9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INTERSECT, then to:</w:t>
      </w:r>
    </w:p>
    <w:p>
      <w:pPr>
        <w:sectPr>
          <w:type w:val="continuous"/>
          <w:pgSz w:w="11900" w:h="16840"/>
          <w:pgMar w:top="450" w:right="880" w:bottom="1440" w:left="980" w:header="720" w:footer="720" w:gutter="0"/>
          <w:cols w:num="2" w:equalWidth="0">
            <w:col w:w="3996" w:space="0"/>
            <w:col w:w="6044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9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type w:val="nextColumn"/>
          <w:pgSz w:w="11900" w:h="16840"/>
          <w:pgMar w:top="450" w:right="880" w:bottom="1440" w:left="980" w:header="720" w:footer="720" w:gutter="0"/>
          <w:cols w:num="2" w:equalWidth="0">
            <w:col w:w="3996" w:space="0"/>
            <w:col w:w="60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may alter the address to which communications are to be sent by giving notice of such change of address in conformity with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providing for the giving of notice. Notice shall be deemed to be effective, if personally delivered, when delivered; if mailed, at midnight 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business day after being sent by certified mail; if sent by nationally recognized overnight delivery service, on the next business day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to such delivery service; and if sent by confirmed facsimile transmission or electronic mail, on the next business day following transmission (so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long as any notices sent by facsimile transmission or electronic mail are also sent by one of the other methods set forth in this Section).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sets forth the entire agreement and understanding between the Parties as to the subject matter hereof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merges all prior discussions and negotiations between them, and neither party shall be bound by any conditions, definitions,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understandings or representations with respect to such subject matter other than as expressly provided herein or as duly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or subsequent to the date hereof in writing and signed by a proper and duly authorized officer or representative of the Parties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bound thereby, except that this Agreement shall not supersede any separate confidentiality or non-disclosure agreement that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been, or that may be, entered into by the Parties. To the extent that any conflict arises among the documents that comprise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 any schedules or exhibits), the terms and conditions of this Agreement shall govern. The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control over and supersede any contrary term in any purchase order,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and Modification.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amended, modified and supplemented only by written agreement duly executed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delivered by each of the Parties hereto.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of any party to exercise any right or to demand the performance by the other party of duties required hereunder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constitute a waiver of any rights or obligations of the Parties under this Agreement. A waiver by any party of a breach of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terms of this Agreement by any other party shall not be deemed a waiver of any subsequent breach of the terms of this Agreement.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to be governed by and construed in accordance with the laws of the State of New York, United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States, notwithstanding any conflict of law provisions to the contrary. The United Nations Convention on Contracts for the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Goods shall not apply to this Agreement. Any action which in any way involves the rights, duties and obligations of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under this Agreement shall be brought in the courts of Geneva and the Parties to this Agreement hereby submit to the personal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of any such court. The Parties waive any and all rights to have any dispute, claim or controversy arising out of or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tried before a jury.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Whenever possible, each provision of this Agreement shall be interpreted in such manner as to be effective and valid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but if any provision of this Agreement is held to be invalid, illegal or unenforceable in any respect under any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rule in any jurisdiction, such invalidity, illegality or unenforceability shall not affect any other provision of this Agreement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in any other jurisdiction, but this Agreement shall be reformed, construed and enforced in such jurisdiction as if such invalid,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illegal or unenforceable provision had not been contained herein.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2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have participated jointly in the negotiation and drafting of this Agreement. In the event of any ambiguity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question of intent or interpretation arises, this Agreement shall be construed as if drafted jointly by the Parties and no presumption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burden of proof shall arise favoring or disfavoring any party by virtue of the authorship of any of the provisions of this Agreement.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in this Agreement, the singular shall include the plural and vice versa, and the terms “include” and “including” shall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immediately followed by the phrase “but not limited to.” The terms “herein” and “hereunder” and similar terms shall be interpreted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refer to this entire Agreement, including any schedules attached hereto.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Parties/Relationship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hold itself out to third parties as possessing any power or authority to enter into any contract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 on behalf of any other party. This Agreement is not intended to, and shall not; create any agency, partnership or joint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relationship between or among the Parties. Each Party is an independent contractor with respect to the others. No Party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any right or authority to assume or create any obligation or responsibility, express or implied, on behalf of, or in the name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Party hereto, or to bind any other party hereto in any manner or with respect to anything, whatsoever.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captions and headings in this Agreement are inserted for convenience and reference only and in no way define or limit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scope or content of this Agreement and shall not affect the interpretation of its provisions.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multiple counterparts, each of which shall be deemed an original and all of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together shall constitute one and the same instrument.</w:t>
      </w:r>
    </w:p>
    <w:p>
      <w:pPr>
        <w:autoSpaceDN w:val="0"/>
        <w:tabs>
          <w:tab w:pos="1096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work that is to be done by any Party under this Agreement may be subcontracted to a third party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approved Marketing Authorisation, cGMPs and any applicable PMDA guidelines which relate to the work to be performed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direction and supervision of such party, as the case may be;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subcontracting party exercises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diligence in selecting such subcontractor and, as between the parties hereto, the subcontracting party shall be and remain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responsible for all acts and omissions of any such subcontractor.</w:t>
      </w:r>
    </w:p>
    <w:p>
      <w:pPr>
        <w:autoSpaceDN w:val="0"/>
        <w:tabs>
          <w:tab w:pos="1096" w:val="left"/>
        </w:tabs>
        <w:autoSpaceDE w:val="0"/>
        <w:widowControl/>
        <w:spacing w:line="194" w:lineRule="exact" w:before="4" w:after="0"/>
        <w:ind w:left="50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Schedules and Exhibits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Schedules and Exhibits referenced in this Agreement, if any, are hereby incorporated by reference into,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made a part of, this Agreement.</w:t>
      </w:r>
    </w:p>
    <w:p>
      <w:pPr>
        <w:autoSpaceDN w:val="0"/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Currency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sums set forth in this Agreement and ay appendices, exhibits or schedules hereto are, and are intended to be, expressed in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14.14.</w:t>
      </w:r>
    </w:p>
    <w:p>
      <w:pPr>
        <w:autoSpaceDN w:val="0"/>
        <w:autoSpaceDE w:val="0"/>
        <w:widowControl/>
        <w:spacing w:line="160" w:lineRule="exact" w:before="36" w:after="0"/>
        <w:ind w:left="10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US dollars.</w:t>
      </w:r>
    </w:p>
    <w:p>
      <w:pPr>
        <w:autoSpaceDN w:val="0"/>
        <w:autoSpaceDE w:val="0"/>
        <w:widowControl/>
        <w:spacing w:line="196" w:lineRule="exact" w:before="196" w:after="172"/>
        <w:ind w:left="18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executed the Agreement as of the date first above written.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HOVIONE INTER AG: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08"/>
        <w:gridCol w:w="5008"/>
      </w:tblGrid>
      <w:tr>
        <w:trPr>
          <w:trHeight w:hRule="exact" w:val="238"/>
        </w:trPr>
        <w:tc>
          <w:tcPr>
            <w:tcW w:type="dxa" w:w="58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Frederic Kahn</w:t>
            </w:r>
          </w:p>
        </w:tc>
      </w:tr>
      <w:tr>
        <w:trPr>
          <w:trHeight w:hRule="exact" w:val="416"/>
        </w:trPr>
        <w:tc>
          <w:tcPr>
            <w:tcW w:type="dxa" w:w="58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343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Frederic Kahn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 Marketing and Sales</w:t>
            </w:r>
          </w:p>
        </w:tc>
      </w:tr>
    </w:tbl>
    <w:p>
      <w:pPr>
        <w:autoSpaceDN w:val="0"/>
        <w:autoSpaceDE w:val="0"/>
        <w:widowControl/>
        <w:spacing w:line="158" w:lineRule="exact" w:before="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172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INTERSECT ENT, INC.: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90"/>
        <w:gridCol w:w="4990"/>
      </w:tblGrid>
      <w:tr>
        <w:trPr>
          <w:trHeight w:hRule="exact" w:val="238"/>
        </w:trPr>
        <w:tc>
          <w:tcPr>
            <w:tcW w:type="dxa" w:w="58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A. West</w:t>
            </w:r>
          </w:p>
        </w:tc>
      </w:tr>
      <w:tr>
        <w:trPr>
          <w:trHeight w:hRule="exact" w:val="416"/>
        </w:trPr>
        <w:tc>
          <w:tcPr>
            <w:tcW w:type="dxa" w:w="58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343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3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Thomas A. West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</w:tr>
    </w:tbl>
    <w:p>
      <w:pPr>
        <w:autoSpaceDN w:val="0"/>
        <w:autoSpaceDE w:val="0"/>
        <w:widowControl/>
        <w:spacing w:line="158" w:lineRule="exact" w:before="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