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2778" w:val="left"/>
          <w:tab w:pos="8258" w:val="left"/>
          <w:tab w:pos="8926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10.2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VERSION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NON-COMPETITION AND NON-SOLICITATION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NON-COMPETITION AND NON-SOLICITATION AGREEMENT (this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dated as of August 1, 2019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Effective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is entered into by Quaker Chemical Corporation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Buyer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 Pennsylvania corporation, Gulf Houghton Lubricants Ltd., a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incorporated in the Cayman Islands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Gulf Houghton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Gulf Oil International Limited, a company incorporated in the Cayman Islands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Gulf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International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GOCL Corporation Limited, a public limited company incorporated in India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Gulf Oil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and, together with Gulf Houghton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Gulf International,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Sellers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each,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In addition, Gulf Oil Lubricants India, Ltd, a public limited company incorporated in India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Gulf India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is executing this Agreement solely for purposes of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  <w:u w:val="single"/>
        </w:rPr>
        <w:t>Section 1(c)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  <w:u w:val="single"/>
        </w:rPr>
        <w:t>[Confidentiality; Non-competition; Non-solicitation]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  <w:tab w:pos="4408" w:val="left"/>
        </w:tabs>
        <w:autoSpaceDE w:val="0"/>
        <w:widowControl/>
        <w:spacing w:line="202" w:lineRule="exact" w:before="1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BACKGROUND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Gulf Houghton owns 3,074,270.00 of the outstanding ordinary shares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Global Houghton Ltd., an exempted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incorporated under the Laws of the Cayman Islands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Gulf International owns approximately 90% of Gulf Houghton;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Gulf Oil is an indirect owner of approximately 10% of Gulf Houghton.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Company and its subsidiaries are engaged in the business of manufacturing, distributing and/or selling one or more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formulated chemical specialty product lines: fire resistant hydraulic fluids, semi-synthetic and specialty metalworking fluids, cleaning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fluids, cold-rolling oils, hot-rolling oils, and specialty industrial greases (such business, as conducted by the Company and its Subsidiaries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Effective Date,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Company 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Buyer and its subsidiaries are engaged in the business of manufacturing, distributing and/or selling the following formulated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chemical specialty product lines or chemical management services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(i) rolling lubricants (used by manufacturers of steel in the hot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cold rolling of steel and by manufacturers of aluminum in the hot rolling of aluminum); (ii) corrosion preventives (used by steel and metalworking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 generally to protect metal during manufacture, storage, and shipment); (iii) metal finishing compounds (used to prepare metal surfaces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special treatments such as, but not limited to, galvanizing and tin plating and to prepare metal for further processing); (iv) machining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grinding compounds (typically used by customers in cutting, shaping, and grinding metal parts which require special treatment to enable them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tolerate the manufacturing process, achieve closer tolerance, and improve tool life); (v) forming compounds (used generally to facilitate the drawing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extrusion of metal products); (vi) bio-lubricants (typically used in machinery in the forestry and construction industries); (vii) hydraulic fluids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(used generally by steel, metalworking, mining, and other customers to operate hydraulic equipment); (viii) chemical milling maskants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aerospace industry; (ix) temporary and permanent coatings for metal and concrete products, tubes and pipes and other applications; (x)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construction products, such as flexible sealants and protective coatings, for various applications; (xi) various specialty greases used in automobile,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industrial and various other applications; (xii) various die casting lubricants and mold release agents; (xiii) various dust suppressants, ground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control agents and roofing products used in mining; and (xiv)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programs to provide CMS (such business, as conducted by Buyer and its subsidiaries as of the Effective Date,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Existing 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together with the Company Business,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Combined 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Buyer, Gulf Houghton and other shareholders of the Company are parties to a Share Purchase Agreement dated as of April 4,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2017, under which Buyer is acquiring the Shares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Purchase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Capitalized terms used herein but not otherwise defined herein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the meanings given to such terms in the Purchase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Sellers, together with the Company, have been substantially involved in and with the Company’s operations and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possess trade secrets and other confidential information relating to the Company Business and the Company’s clients, customers, vendors,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suppliers and operations.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it is integral to Buyer’s acquisition of the Company Business and a condition precedent to the closing of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by the Purchase Agreement that the Sellers enter into this Agreement with Buyer to provide for the protection of the Combined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Business’s customer and vendor relationships, trade secrets, confidential information and other business operations. Pursuant to the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Gulf Houghton shall receive cash consideration and shares of Buyer’s capital stock in exchange for the Shares owned by Gulf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Houghton and as inducement for Gulf Houghton and the other Sellers to enter into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THEREFORE, in consideration of the premises and the mutual representations, warranties, covenants and agreements contained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 the Purchase Agreement, the parties, intending to be legally bound, agree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Confidentiality; Non-competition; Non-solicitation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From and after the date hereof, each Seller shall, and shall cause its Affiliates to, hold, and shall use its reasonable best efforts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cause its or their respective Representatives to hold, in confidence any and all information, whether written or oral, concerning Buyer,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the Company Subsidiaries, except to the extent that such Seller can show that such information: (i) is generally available to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known by the public through no fault of any Seller or any of their respective Affiliates or Representatives or (ii) is lawfully acquired by such Seller,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its Affiliates or their respective Representatives from and after the date hereof from sources that are not prohibited from disclosing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by a legal, contractual or fiduciary obligation. If any Seller or any of its Affiliates or their respective Representatives are compelled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 any information by judicial or administrative process or by other requirements of Law, such Seller shall promptly notify Buyer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disclose only that portion of such information that such Seller is advised by its counsel is legally required to be disclosed,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Seller shall use reasonable best efforts to obtain an appropriate protective order or other reasonable assurance that confidential treatment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accorded such information.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Each Seller agrees that for a period commencing on the Effective Date and ending two years after the Closing Date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Non-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Compete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it shall not, other than solely through its direct or indirect ownership of Buyer’s capital stock or any other interests in Buyer,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directly, or indirectly, including through or on behalf of a subsidiary, anywhere in the world, excluding India: (i) own, manage, operate or control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which competes with any Combined Business or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be or become a shareholder, partner, member or owner of any Person who is engaged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Combined Business;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nothing in this Agreement shall: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prohibit or restrict any Seller, directly or indirectly, from owning, as a passive investor, not more than five (5%) percent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collectively and in the aggregate of any class of outstanding publicly traded securities of any Person so engaged;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prohibit or restrict any Seller, directly or indirectly, from engaging in such Seller’s business as conducted on the Effective Date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reasonable extensions thereof, which may include routine, day-to-day transactions with any entity,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apply to or restrict any business of which a Seller acquires control after the Effective Date provided that the acquired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did not receive more than $25,000,000 of its aggregate net sales (as measured during the 12 full calendar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months prior to such acquisition) from product lines included within the definition of Company Business.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Seller agrees that this covenant is reasonable with respect to its duration, geographical area and scope. For purposes of this Agreement,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(including the terms “controlled by” and “under common control with”) means the possession, directly or indirectly, of the power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 or cause the direction of the management and policies of a Person, whether through the ownership of voting securities, by contract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Gulf Oil and Gulf India each agree during the Non-Compete Period not to acquire, directly or indirectly, control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businesses involved in, or otherwise competing with, the business of the Combined Business from any entity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Each Seller agrees that for a period commencing on the Effective Date and ending three years after the Closing Date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Non-Solicit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each Seller shall not, directly or indirectly: (i) induce, solicit, recruit or attempt to persuade any employee of the Combined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to terminate his or her employment with the Buyer or any of its subsidiaries, or (ii) solicit the employment of any of the employees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Combined Business. Notwithstanding the above, Sellers shall not be restricted from (1) soliciting for employment or hiring former employees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or the Company (including their respective subsidiaries) whose employment was terminated by Buyer or the Company (including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subsidiaries) at least six months prior to such initial solicitation by such Seller or (2) soliciting employees of the Combined Business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of a general solicitation through a public medium or general or mass mailing that is not specifically targeted at employees or former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of the Combined Business;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this clause (2) shall not permit any Seller to hire any such employees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Non-Solicit Period.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It is the intention of the parties that the covenants contained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enforced to the greatest extent (but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greater extent) in time, area and degree of participation as is permitted by the Law of that jurisdiction whose Law is applicable to any acts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allegedly in breach of such covenants. To this end, the parties agree that the covenants contained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construed to extend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and territory and with respect to degree of participation only so far as they may be enforced in such jurisdiction, and that the covenants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to that end hereby declared divisible and severable. It being the purpose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govern competition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Sellers and their respective subsidiaries, the non-competition covenants contained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governed by and construed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according to the Law of all the jurisdictions in which competition in breach of this Agreement is alleged to have occurred or to be threatened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best gives them effect.</w:t>
      </w:r>
    </w:p>
    <w:p>
      <w:pPr>
        <w:autoSpaceDN w:val="0"/>
        <w:tabs>
          <w:tab w:pos="608" w:val="left"/>
          <w:tab w:pos="1820" w:val="left"/>
          <w:tab w:pos="300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notices, requests, consents, claims, demands, waivers and other communications hereunder shall be in writing and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have been given: (a) when delivered by hand (with written confirmation of receipt); (b) when received by the addressee if sent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nationally recognized overnight courier (receipt requested); (c) on the date sent by facsimile or e-mail of a PDF document (with confirmation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transmission) if sent during normal business hours of the recipient, and on the next Business Day if sent after normal business hours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recipient or (d) on the third day after the date mailed, by certified or registered mail, return receipt requested, postage prepaid. Such communications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be sent to the respective parties at the following addresses (or at such other address for a party as shall be specified in a notice given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Buyer: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Quaker Chemical Corporation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Quaker Park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901 E. Hector Street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Conshohocken, PA 19428-2380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(610) 832-4496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traubr@quakerchem.com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Robert T. Traub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(which shall not constitute notice) to: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Drinker, Biddle &amp; Reath LLP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Logan Square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2000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Philadelphia, Pennsylvania 19103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(215) 988-2757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Douglas.Raymond@dbr.com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F. Douglas Raymond, III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84" w:lineRule="exact" w:before="0" w:after="0"/>
        <w:ind w:left="608" w:right="59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any of the Sellers: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Gulf Houghton Lubricants Ltd.</w:t>
      </w:r>
    </w:p>
    <w:p>
      <w:pPr>
        <w:autoSpaceDN w:val="0"/>
        <w:tabs>
          <w:tab w:pos="608" w:val="left"/>
          <w:tab w:pos="1820" w:val="left"/>
          <w:tab w:pos="300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Whitehall House, 238 North Church Street, P.O. Box 1043, George Town Grand Cayman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KY1-1102 Cayman Islands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(305) 675-2619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Sandra@accla.im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Sandra Georgeson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(which shall not constitute notice) to: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Mayer Brown LLP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1221 Avenue of the Americas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New York 10020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(212) 849-5914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rwheeler@mayerbrown.com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Reb D. Wheeler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Successors and Assigns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binding upon and inure to the benefit of the parties and their respective successors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permitted assigns;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this Agreement shall not be assignable or otherwise transferable by any party without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the other party (which consent shall not be unreasonably withheld or delayed) and any purported assignment or transfer without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shall be null and void. No assignment shall relieve the assigning party of any of its obligations hereunder.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THIS AGREEMENT SHALL BE GOVERNED BY AND CONSTRUED IN ACCORDANCE WITH THE INTERNAL LAWS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COMMONWEALTH OF PENNSYLVANIA WITHOUT GIVING EFFECT TO ANY CHOICE OR CONFLICT OF LAW PROVISION OR RULE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(WHETHER OF THE COMMONWEALTH OF PENNSYLVANIA OR ANY OTHER JURISDICTION).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ANY LEGAL SUIT, ACTION OR PROCEEDING ARISING OUT OF OR BASED UPON THIS AGREEMENT,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DOCUMENTS OR THE TRANSACTIONS CONTEMPLATED HEREBY OR THEREBY MAY BE INSTITUTED IN THE FEDERAL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COURTS OF THE UNITED STATES OF AMERICA OR THE COURTS OF THE COMMONWEALTH OF PENNSYLVANIA IN EACH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LOCATED IN THE CITY OF PHILADELPHIA AND COUNTY OF PHILADELPHIA, AND EACH PARTY IRREVOCABLY SUBMITS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JURISDICTION OF SUCH COURTS IN ANY SUCH SUIT, ACTION OR PROCEEDING. SERVICE OF PROCESS, SUMMONS,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DOCUMENT BY MAIL TO SUCH PARTY’S ADDRESS SET FORTH HEREIN SHALL BE EFFECTIVE SERVICE OF PROCESS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SUIT, ACTION OR OTHER PROCEEDING BROUGHT IN ANY SUCH COURT. THE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IRREVOCABLY AND UNCONDITIONALLY WAIVE ANY OBJECTION TO THE LAYING OF VENUE OF ANY SUIT, ACTION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IN SUCH COURTS AND IRREVOCABLY WAIVE AND AGREE NOT TO PLEAD OR CLAIM IN ANY SUCH COURT THAT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SUIT, ACTION OR PROCEEDING BROUGHT IN ANY SUCH COURT HAS BEEN BROUGHT IN AN INCONVENIENT FORUM.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EACH PARTY ACKNOWLEDGES AND AGREES THAT ANY CONTROVERSY WHICH MAY ARISE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THE OTHER TRANSACTION DOCUMENTS IS LIKELY TO INVOLVE COMPLICATED AND DIFFICULT ISSUES 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THEREFORE, EACH SUCH PARTY IRREVOCABLY AND UNCONDITIONALLY WAIVES ANY RIGHT IT MAY HAVE TO A TRIAL BY JURY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OF ANY LEGAL ACTION ARISING OUT OF OR RELATING TO THIS AGREEMENT, THE OTHER TRANSACTION DOCUMENTS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TRANSACTIONS CONTEMPLATED HEREBY OR THEREBY. EACH PARTY TO THIS AGREEMENT CERTIFIES AND ACKNOWLEDGES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(A) NO REPRESENTATIVE OF ANY OTHER PARTY HAS REPRESENTED, EXPRESSLY OR OTHERWISE, THAT SUCH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NOT SEEK TO ENFORCE THE FOREGOING WAIVER IN THE EVENT OF A LEGAL ACTION, (B) SUCH PARTY HAS CONSIDERED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IMPLICATIONS OF THIS WAIVER, (C) SUCH PARTY MAKES THIS WAIVER VOLUNTARILY AND (D) SUCH PARTY HAS BEEN INDUCED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 INTO THIS AGREEMENT BY, AMONG OTHER THINGS, THE MUTUAL WAIVERS AND CERTIFICATIONS IN THIS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  <w:u w:val="single"/>
        </w:rPr>
        <w:t xml:space="preserve">SECTION 4(C)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  <w:u w:val="single"/>
        </w:rPr>
        <w:t>[Governing Law]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2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Injunctive Relief; Attorneys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Seller agrees that in the event of a breach of this Agreement, the damage to Buyer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inestimable and that therefore any remedy at Law or in monetary damages shall be inadequate. Accordingly, the parties agree that Buyer shall,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 to monetary damages incurred by reason of any such breach or potential breach, without the necessity of posting any bond or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 (and Sellers hereby irrevocably waive any right it may have to require the obtaining, furnishing or posting of any such bond or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instrument) be entitled to seek injunctive relief (including specific performance) against the Sellers for breach of this Agreement. If any action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shall be commenced to enforce this Agreement or any right arising in connection with this Agreement, the prevailing party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or proceeding shall be entitled to recover from the other party the reasonable attorneys’ fees, costs and expenses incurred by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prevailing party in connection with such action or proceeding.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the other Transaction Documents to which the parties hereto are parties constitute the sole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entire agreement of the parties to this Agreement with respect to the subject matter contained herein and therein, and supersede all prior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contemporaneous understandings and agreements, both written and oral, with respect to such subject matter.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 Waivers, etc.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 amendment, modification or discharge of this Agreement, and no waiver hereunder, shall be valid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binding unless set forth in writing and duly executed by the party against whom enforcement of the amendment, modification, discharge or waiver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sought. Any such waiver shall constitute a waiver only with respect to the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51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 matter described in such writing and shall in no way impair the rights of the party granting such waiver in any other respect or at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time. Neither the waiver by a party of a breach of or a default under any of the provisions of this Agreement, nor the failure by any party, on one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occasions, to enforce any of the provisions of this Agreement or to exercise any right or privilege hereunder, shall be construed as a waiver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breach or default of a similar nature, or as a waiver of any of such provisions, rights or privileges hereunder. The rights and remedies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provided are cumulative and none is exclusive of any other, or of any rights or remedies that any party may otherwise have at law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term or provision of this Agreement is invalid, illegal or unenforceable in any jurisdiction, such invalidity, illegality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unenforceability shall not affect any other term or provision of this Agreement or invalidate or render unenforceable such term or provision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jurisdiction. Upon such determination that any term or other provision is invalid, illegal or unenforceable, the parties hereto shall negotiate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faith to modify this Agreement so as to effect the original intent of the parties as closely as possible in a mutually acceptable manner in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the transactions contemplated hereby be consummated as originally contemplated to the greatest extent possible.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Counterparts; Effectiveness; Third 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counterparts, each of which shall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original and both of which shall together constitute one and the same instrument. This Agreement shall become effective when each party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received a counterpart hereof signed by the other party. Until and unless each party has received a counterpart hereof signed by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this Agreement shall have no effect and none of the parties shall have any right or obligation hereunder (whether by virtue of any other oral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written agreement or other communication). Facsimiles, e-mail transmission of .pdf signatures or other electronic copies of signatures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be original counterparts. No provision of this Agreement is intended to confer any rights, benefits, remedies, obligations or liabilities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 upon any Person other than the parties and their respective successors and permitted assigns.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Cooperation; Further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shall execute such further instruments and take such other actions as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shall reasonably request in order to effectuate the purposes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Interpretation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words “hereof”, “herein” and “hereunder” and words of like import used in this Agreement shall refer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as a whole and not to any particular provision of this Agreement. The captions herein are included for convenience of reference only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be ignored in the construction or interpretation hereof. References to Sections are to Sections of this Agreement unless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specified. Any singular term in this Agreement shall be deemed to include the plural, and any plural term the singular. Whenever the words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“include”, “includes” or “including” are used in this Agreement, they shall be deemed to be followed by the words “without limitation”, whether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they are in fact followed by those words or words of like import. “Writing”, “written” and comparable terms refer to printing, typing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of reproducing words (including electronic media) in a visible form. References to any Person include the successors and permitted assigns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that Person. References from or through any date mean, unless otherwise specified, from and including or through and including, respectively.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reference to “days” means calendar days unless Business Days are expressly specified. If any action under this Agreement is required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done or taken on a day that is not a Business Day, then such action shall be required to be done or taken not on such day but on the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succeeding Business Day thereafter. The headings in this Agreement are for reference only and shall not affect the interpretation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 page follows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962" w:val="left"/>
        </w:tabs>
        <w:autoSpaceDE w:val="0"/>
        <w:widowControl/>
        <w:spacing w:line="184" w:lineRule="exact" w:before="0" w:after="20"/>
        <w:ind w:left="1478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each of the parties has duly executed this Agreement as of the Effective Date.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QUAKER CHEMICAL CORPORATION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0.0" w:type="dxa"/>
      </w:tblPr>
      <w:tblGrid>
        <w:gridCol w:w="4960"/>
        <w:gridCol w:w="4960"/>
      </w:tblGrid>
      <w:tr>
        <w:trPr>
          <w:trHeight w:hRule="exact" w:val="200"/>
        </w:trPr>
        <w:tc>
          <w:tcPr>
            <w:tcW w:type="dxa" w:w="297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Robert T. Traub</w:t>
            </w:r>
          </w:p>
        </w:tc>
      </w:tr>
    </w:tbl>
    <w:p>
      <w:pPr>
        <w:autoSpaceDN w:val="0"/>
        <w:tabs>
          <w:tab w:pos="4962" w:val="left"/>
          <w:tab w:pos="5456" w:val="left"/>
        </w:tabs>
        <w:autoSpaceDE w:val="0"/>
        <w:widowControl/>
        <w:spacing w:line="200" w:lineRule="exact" w:before="0" w:after="0"/>
        <w:ind w:left="2602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Robert T. Traub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President, General Counsel and Corporate Secretary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to Non-Competition and Non-Solicitation Agreement]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8"/>
        <w:ind w:left="0" w:right="225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GULF HOUGHTON LUBRICANTS LTD.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0.0" w:type="dxa"/>
      </w:tblPr>
      <w:tblGrid>
        <w:gridCol w:w="4960"/>
        <w:gridCol w:w="4960"/>
      </w:tblGrid>
      <w:tr>
        <w:trPr>
          <w:trHeight w:hRule="exact" w:val="202"/>
        </w:trPr>
        <w:tc>
          <w:tcPr>
            <w:tcW w:type="dxa" w:w="297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Sandra Georgeson</w:t>
            </w:r>
          </w:p>
        </w:tc>
      </w:tr>
    </w:tbl>
    <w:p>
      <w:pPr>
        <w:autoSpaceDN w:val="0"/>
        <w:tabs>
          <w:tab w:pos="4962" w:val="left"/>
          <w:tab w:pos="5456" w:val="left"/>
        </w:tabs>
        <w:autoSpaceDE w:val="0"/>
        <w:widowControl/>
        <w:spacing w:line="200" w:lineRule="exact" w:before="0" w:after="0"/>
        <w:ind w:left="2602" w:right="259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Sandra Georgeson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to Non-Competition and Non-Solicitation Agreement]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8"/>
        <w:ind w:left="0" w:right="25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GULF OIL INTERNATIONAL, LTD.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0.0" w:type="dxa"/>
      </w:tblPr>
      <w:tblGrid>
        <w:gridCol w:w="4960"/>
        <w:gridCol w:w="4960"/>
      </w:tblGrid>
      <w:tr>
        <w:trPr>
          <w:trHeight w:hRule="exact" w:val="202"/>
        </w:trPr>
        <w:tc>
          <w:tcPr>
            <w:tcW w:type="dxa" w:w="297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Benjamin Booker</w:t>
            </w:r>
          </w:p>
        </w:tc>
      </w:tr>
    </w:tbl>
    <w:p>
      <w:pPr>
        <w:autoSpaceDN w:val="0"/>
        <w:tabs>
          <w:tab w:pos="4962" w:val="left"/>
          <w:tab w:pos="5456" w:val="left"/>
        </w:tabs>
        <w:autoSpaceDE w:val="0"/>
        <w:widowControl/>
        <w:spacing w:line="200" w:lineRule="exact" w:before="0" w:after="0"/>
        <w:ind w:left="2602" w:right="259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Benjamin Booker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to Non-Competition and Non-Solicitation Agreement]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8"/>
        <w:ind w:left="0" w:right="274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GOCL CORPORATION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0.0" w:type="dxa"/>
      </w:tblPr>
      <w:tblGrid>
        <w:gridCol w:w="4960"/>
        <w:gridCol w:w="4960"/>
      </w:tblGrid>
      <w:tr>
        <w:trPr>
          <w:trHeight w:hRule="exact" w:val="202"/>
        </w:trPr>
        <w:tc>
          <w:tcPr>
            <w:tcW w:type="dxa" w:w="297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Subhas Pramanik</w:t>
            </w:r>
          </w:p>
        </w:tc>
      </w:tr>
    </w:tbl>
    <w:p>
      <w:pPr>
        <w:autoSpaceDN w:val="0"/>
        <w:tabs>
          <w:tab w:pos="4962" w:val="left"/>
          <w:tab w:pos="5456" w:val="left"/>
        </w:tabs>
        <w:autoSpaceDE w:val="0"/>
        <w:widowControl/>
        <w:spacing w:line="200" w:lineRule="exact" w:before="0" w:after="0"/>
        <w:ind w:left="2602" w:right="259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Subhas Pramanik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Managing Director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to Non-Competition and Non-Solicitation Agreement]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8"/>
        <w:ind w:left="0" w:right="237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GULF OIL LUBRICANTS INDIA, LTD.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0.0" w:type="dxa"/>
      </w:tblPr>
      <w:tblGrid>
        <w:gridCol w:w="4960"/>
        <w:gridCol w:w="4960"/>
      </w:tblGrid>
      <w:tr>
        <w:trPr>
          <w:trHeight w:hRule="exact" w:val="202"/>
        </w:trPr>
        <w:tc>
          <w:tcPr>
            <w:tcW w:type="dxa" w:w="297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Ravi Chawla</w:t>
            </w:r>
          </w:p>
        </w:tc>
      </w:tr>
    </w:tbl>
    <w:p>
      <w:pPr>
        <w:autoSpaceDN w:val="0"/>
        <w:tabs>
          <w:tab w:pos="4962" w:val="left"/>
          <w:tab w:pos="5456" w:val="left"/>
        </w:tabs>
        <w:autoSpaceDE w:val="0"/>
        <w:widowControl/>
        <w:spacing w:line="200" w:lineRule="exact" w:before="0" w:after="0"/>
        <w:ind w:left="2602" w:right="259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Ravi Chawla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Managing Director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to Non-Competition and Non-Solicitation Agreement]</w:t>
      </w:r>
    </w:p>
    <w:sectPr w:rsidR="00FC693F" w:rsidRPr="0006063C" w:rsidSect="00034616">
      <w:pgSz w:w="11900" w:h="16840"/>
      <w:pgMar w:top="514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