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4028" w:val="left"/>
          <w:tab w:pos="8902" w:val="left"/>
        </w:tabs>
        <w:autoSpaceDE w:val="0"/>
        <w:widowControl/>
        <w:spacing w:line="214" w:lineRule="exact" w:before="0" w:after="0"/>
        <w:ind w:left="3346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10.1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NON-COMPETITION AGREEMENT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AMENDMENT NO. 1</w:t>
      </w:r>
    </w:p>
    <w:p>
      <w:pPr>
        <w:autoSpaceDN w:val="0"/>
        <w:autoSpaceDE w:val="0"/>
        <w:widowControl/>
        <w:spacing w:line="240" w:lineRule="exact" w:before="214" w:after="0"/>
        <w:ind w:left="0" w:right="60" w:firstLine="7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NON-COMPETITION AGREEMENT AMENDMENT NO. 1 (this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is entered into as of August 16,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2017, by and between VIVINT SOLAR, INC., a Delaware corporation (together with its successors and permitted assigns,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Vivint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Solar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and VIVINT, INC., a Utah corporation (together with its successors and permitted assigns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Vivint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Each of Vivint Solar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Vivint may also be referred to herein individually as a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”, and collectively as 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RECITALS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Vivint Solar and Vivint are affiliate business entities, under the common control and ownership of 313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Acquisition, LLC, a Delaware limited liability company.</w:t>
      </w:r>
    </w:p>
    <w:p>
      <w:pPr>
        <w:autoSpaceDN w:val="0"/>
        <w:tabs>
          <w:tab w:pos="758" w:val="left"/>
        </w:tabs>
        <w:autoSpaceDE w:val="0"/>
        <w:widowControl/>
        <w:spacing w:line="242" w:lineRule="exact" w:before="8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Parties had entered into a Non-Competition Agreement dated September 30, 2014, by and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(collectively, 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Non-Competition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to set out certain restrictive covenants of each Party.</w:t>
      </w:r>
    </w:p>
    <w:p>
      <w:pPr>
        <w:autoSpaceDN w:val="0"/>
        <w:autoSpaceDE w:val="0"/>
        <w:widowControl/>
        <w:spacing w:line="188" w:lineRule="exact" w:before="13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WHEREAS, the Parties wish to amend the existing obligations under the Non-Competition Agreement.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Parties also desire to extend the term of the non-solicitation obligations under the Non-Competition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NOW, THEREFORE, in consideration of the mutual covenants, agreements and conditions set forth herein, and for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good and valuable consideration, the receipt and sufficiency of which are hereby acknowledged, the Parties agree as follows:</w:t>
      </w:r>
    </w:p>
    <w:p>
      <w:pPr>
        <w:autoSpaceDN w:val="0"/>
        <w:tabs>
          <w:tab w:pos="758" w:val="left"/>
          <w:tab w:pos="1504" w:val="left"/>
        </w:tabs>
        <w:autoSpaceDE w:val="0"/>
        <w:widowControl/>
        <w:spacing w:line="234" w:lineRule="exact" w:before="9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capitalized term used but not defined in this Amendment will have the meaning set forth for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 in the Non-Competition Agreement or the Master Framework Agreement, dated September 30, 2016, by and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(the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Master Framework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758" w:val="left"/>
          <w:tab w:pos="1504" w:val="left"/>
        </w:tabs>
        <w:autoSpaceDE w:val="0"/>
        <w:widowControl/>
        <w:spacing w:line="226" w:lineRule="exact" w:before="21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Non-Competition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2 of the Non-Competition Agreement shall be deleted in its entirety and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of the Non-Competition Agreement that relate to such Section 2, including, without limitation, Sections 5 and 6,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amended hereby to delete the applicable references, and provisions solely applicable to, Section 2,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8" w:val="left"/>
          <w:tab w:pos="150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Non-Solicitation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Section 4 of the Non-Competition Agreement is hereby deleted in its entirety and replaced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following:</w:t>
      </w:r>
    </w:p>
    <w:p>
      <w:pPr>
        <w:autoSpaceDN w:val="0"/>
        <w:autoSpaceDE w:val="0"/>
        <w:widowControl/>
        <w:spacing w:line="234" w:lineRule="exact" w:before="196" w:after="204"/>
        <w:ind w:left="75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will become effective on the Effective Date, and will continue until the expiration of the “Sales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Term” as that term is defined in the Sales Dealer Agreement dated as of August 16, 2017 between Vivint and Vivint Solar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Developer, LLC (the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0"/>
        <w:gridCol w:w="3320"/>
        <w:gridCol w:w="3320"/>
      </w:tblGrid>
      <w:tr>
        <w:trPr>
          <w:trHeight w:hRule="exact" w:val="2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Continuation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This Amendment will apply and be effective only with respect to the provisions of the Non-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Competition Agreement specifically referred to herein. Except as otherwise set forth in this Amendment, the Non-Competition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will continue in full force and effect in accordance with its terms.</w:t>
      </w:r>
    </w:p>
    <w:p>
      <w:pPr>
        <w:autoSpaceDN w:val="0"/>
        <w:autoSpaceDE w:val="0"/>
        <w:widowControl/>
        <w:spacing w:line="164" w:lineRule="exact" w:before="2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tabs>
          <w:tab w:pos="1504" w:val="left"/>
        </w:tabs>
        <w:autoSpaceDE w:val="0"/>
        <w:widowControl/>
        <w:spacing w:line="190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Master Framework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This Amendment is governed by the Master Framework Agreement, including,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without limitation, the provisions of Sections 4 (Confidentiality) and 6 (Miscellaneous) of the Master Framework Agreement.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SIGNATURE PAGES FOLLOW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]</w:t>
      </w:r>
    </w:p>
    <w:p>
      <w:pPr>
        <w:autoSpaceDN w:val="0"/>
        <w:autoSpaceDE w:val="0"/>
        <w:widowControl/>
        <w:spacing w:line="166" w:lineRule="exact" w:before="2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08" w:lineRule="exact" w:before="0" w:after="0"/>
        <w:ind w:left="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the Parties have executed this Non-Competition Agreement Amendment No. 1 as of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first written above.</w:t>
      </w:r>
    </w:p>
    <w:p>
      <w:pPr>
        <w:autoSpaceDN w:val="0"/>
        <w:autoSpaceDE w:val="0"/>
        <w:widowControl/>
        <w:spacing w:line="188" w:lineRule="exact" w:before="684" w:after="0"/>
        <w:ind w:left="0" w:right="413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VIVINT SOLAR:</w:t>
      </w:r>
    </w:p>
    <w:p>
      <w:pPr>
        <w:autoSpaceDN w:val="0"/>
        <w:autoSpaceDE w:val="0"/>
        <w:widowControl/>
        <w:spacing w:line="228" w:lineRule="exact" w:before="440" w:after="432"/>
        <w:ind w:left="4464" w:right="360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VIVINT SOLAR, INC.,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Delaware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4980"/>
        <w:gridCol w:w="4980"/>
      </w:tblGrid>
      <w:tr>
        <w:trPr>
          <w:trHeight w:hRule="exact" w:val="274"/>
        </w:trPr>
        <w:tc>
          <w:tcPr>
            <w:tcW w:type="dxa" w:w="311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</w:t>
            </w:r>
          </w:p>
        </w:tc>
        <w:tc>
          <w:tcPr>
            <w:tcW w:type="dxa" w:w="45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David Bywater</w:t>
            </w:r>
          </w:p>
        </w:tc>
      </w:tr>
      <w:tr>
        <w:trPr>
          <w:trHeight w:hRule="exact" w:val="502"/>
        </w:trPr>
        <w:tc>
          <w:tcPr>
            <w:tcW w:type="dxa" w:w="311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24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</w:t>
            </w:r>
          </w:p>
        </w:tc>
        <w:tc>
          <w:tcPr>
            <w:tcW w:type="dxa" w:w="454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David Bywater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88" w:lineRule="exact" w:before="6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[SIGNATURE PAGES CONTINUE ON FOLLOWING PAGE]</w:t>
      </w:r>
    </w:p>
    <w:p>
      <w:pPr>
        <w:autoSpaceDN w:val="0"/>
        <w:autoSpaceDE w:val="0"/>
        <w:widowControl/>
        <w:spacing w:line="164" w:lineRule="exact" w:before="9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PAGE]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2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7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VIVINT:</w:t>
      </w:r>
    </w:p>
    <w:p>
      <w:pPr>
        <w:autoSpaceDN w:val="0"/>
        <w:autoSpaceDE w:val="0"/>
        <w:widowControl/>
        <w:spacing w:line="190" w:lineRule="exact" w:before="478" w:after="0"/>
        <w:ind w:left="0" w:right="42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VIVINT, INC.,</w:t>
      </w:r>
    </w:p>
    <w:p>
      <w:pPr>
        <w:autoSpaceDN w:val="0"/>
        <w:autoSpaceDE w:val="0"/>
        <w:widowControl/>
        <w:spacing w:line="188" w:lineRule="exact" w:before="38" w:after="434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Utah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4740"/>
        <w:gridCol w:w="4740"/>
      </w:tblGrid>
      <w:tr>
        <w:trPr>
          <w:trHeight w:hRule="exact" w:val="272"/>
        </w:trPr>
        <w:tc>
          <w:tcPr>
            <w:tcW w:type="dxa" w:w="289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6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</w:t>
            </w:r>
          </w:p>
        </w:tc>
        <w:tc>
          <w:tcPr>
            <w:tcW w:type="dxa" w:w="454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Alex J. Dunn</w:t>
            </w:r>
          </w:p>
        </w:tc>
      </w:tr>
      <w:tr>
        <w:trPr>
          <w:trHeight w:hRule="exact" w:val="504"/>
        </w:trPr>
        <w:tc>
          <w:tcPr>
            <w:tcW w:type="dxa" w:w="289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2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</w:t>
            </w:r>
          </w:p>
        </w:tc>
        <w:tc>
          <w:tcPr>
            <w:tcW w:type="dxa" w:w="454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Alex J. Dunn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414" w:after="0"/>
        <w:ind w:left="0" w:right="42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PAGE]</w:t>
      </w:r>
    </w:p>
    <w:sectPr w:rsidR="00FC693F" w:rsidRPr="0006063C" w:rsidSect="00034616">
      <w:pgSz w:w="11900" w:h="16840"/>
      <w:pgMar w:top="518" w:right="9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