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3986" w:val="left"/>
          <w:tab w:pos="4234" w:val="left"/>
          <w:tab w:pos="4446" w:val="left"/>
          <w:tab w:pos="4882" w:val="left"/>
          <w:tab w:pos="9104" w:val="left"/>
        </w:tabs>
        <w:autoSpaceDE w:val="0"/>
        <w:widowControl/>
        <w:spacing w:line="308" w:lineRule="exact" w:before="0" w:after="0"/>
        <w:ind w:left="10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w w:val="101.18680000305176"/>
          <w:rFonts w:ascii="TimesNewRomanPS" w:hAnsi="TimesNewRomanPS" w:eastAsia="TimesNewRomanPS"/>
          <w:b/>
          <w:i w:val="0"/>
          <w:color w:val="000000"/>
          <w:sz w:val="16"/>
        </w:rPr>
        <w:t xml:space="preserve">Exhibit 10.20 </w:t>
      </w:r>
      <w:r>
        <w:tab/>
      </w:r>
      <w:r>
        <w:tab/>
      </w:r>
      <w:r>
        <w:tab/>
      </w:r>
      <w:r>
        <w:rPr>
          <w:w w:val="101.18680000305176"/>
          <w:rFonts w:ascii="TimesNewRomanPS" w:hAnsi="TimesNewRomanPS" w:eastAsia="TimesNewRomanPS"/>
          <w:b/>
          <w:i/>
          <w:color w:val="000000"/>
          <w:sz w:val="16"/>
        </w:rPr>
        <w:t xml:space="preserve">(TRANSLATION) </w:t>
      </w:r>
      <w:r>
        <w:br/>
      </w:r>
      <w:r>
        <w:tab/>
      </w:r>
      <w:r>
        <w:rPr>
          <w:w w:val="101.18680000305176"/>
          <w:rFonts w:ascii="TimesNewRomanPS" w:hAnsi="TimesNewRomanPS" w:eastAsia="TimesNewRomanPS"/>
          <w:b/>
          <w:i w:val="0"/>
          <w:color w:val="000000"/>
          <w:sz w:val="16"/>
        </w:rPr>
        <w:t xml:space="preserve">OUTSOURCING AGREEMENT </w:t>
      </w:r>
      <w:r>
        <w:br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This Outsourcing Agreement (hereinafter “Agreement”) is effective as from the 1</w:t>
      </w:r>
      <w:r>
        <w:rPr>
          <w:w w:val="97.85096985953194"/>
          <w:rFonts w:ascii="TimesNewRomanPSMT" w:hAnsi="TimesNewRomanPSMT" w:eastAsia="TimesNewRomanPSMT"/>
          <w:b w:val="0"/>
          <w:i w:val="0"/>
          <w:color w:val="000000"/>
          <w:sz w:val="14"/>
        </w:rPr>
        <w:t>st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day of January, 2009, by and between: </w:t>
      </w:r>
      <w:r>
        <w:br/>
      </w:r>
      <w:r>
        <w:tab/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to this agreement </w:t>
      </w:r>
      <w:r>
        <w:br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SILICON SMELTERS « Pty » Ltd, registration nr 1998/019036/07, VAT n° 4310178506, Registered office at Beyersnek Road, PO Box 657 Polokwane –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South Africa, represented by Benoit Emile Norbert Ollivier, Managing Director, acting pursuant to the powers granted to him by the Board on the 22</w:t>
      </w:r>
      <w:r>
        <w:rPr>
          <w:w w:val="97.8509698595319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nd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May, 2008 (hereinafter referred to as “the Customer”),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</w:t>
      </w:r>
      <w:r>
        <w:br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ESPACIO INFORMATION TECHNOLOGY, SA., a public limited company with place of business in P° de la Castellana, N° 259, 28046, Madrid, SPAIN,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represented by Mr. Carlos Lafitte as Chief Executive, in virtue of his powers, currently in force, conferred to him the 23rd of January of 1996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(Protocol No. 134), before Mr. Jose Maria Lucena Conde, Notary Public in Madrid, (hereinafter referred to as “EIT”).</w:t>
      </w:r>
    </w:p>
    <w:p>
      <w:pPr>
        <w:autoSpaceDN w:val="0"/>
        <w:autoSpaceDE w:val="0"/>
        <w:widowControl/>
        <w:spacing w:line="162" w:lineRule="exact" w:before="210" w:after="0"/>
        <w:ind w:left="0" w:right="0" w:firstLine="0"/>
        <w:jc w:val="center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238" w:lineRule="auto" w:before="1098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FERROGLOBE PLC, F-4/A, 6/24/2015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06" w:val="left"/>
        </w:tabs>
        <w:autoSpaceDE w:val="0"/>
        <w:widowControl/>
        <w:spacing w:line="162" w:lineRule="exact" w:before="122" w:after="0"/>
        <w:ind w:left="20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RECORDINGS</w:t>
      </w:r>
    </w:p>
    <w:p>
      <w:pPr>
        <w:autoSpaceDN w:val="0"/>
        <w:autoSpaceDE w:val="0"/>
        <w:widowControl/>
        <w:spacing w:line="162" w:lineRule="exact" w:before="138" w:after="0"/>
        <w:ind w:left="41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This Agreement is being made and entered into with reference to the following facts:</w:t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Silicon Smelters and EIT both belong to the GROUP VILLAR MIR.</w:t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 Customer is a company that manufactures ferro-alloys in both its factories: Polokwane and Rand Carbide.</w:t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EIT is a company that installs, integrates and develops the management and maintenance of Data Processing Systems, and desires to</w:t>
      </w:r>
    </w:p>
    <w:p>
      <w:pPr>
        <w:autoSpaceDN w:val="0"/>
        <w:autoSpaceDE w:val="0"/>
        <w:widowControl/>
        <w:spacing w:line="162" w:lineRule="exact" w:before="36" w:after="0"/>
        <w:ind w:left="992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perform for the Customer the outsourcing services described in this Agreement.</w:t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GROUP VILLAR MIR demands the Customer to use the management services of the group, developed and maintained by EIT, and</w:t>
      </w:r>
    </w:p>
    <w:p>
      <w:pPr>
        <w:autoSpaceDN w:val="0"/>
        <w:autoSpaceDE w:val="0"/>
        <w:widowControl/>
        <w:spacing w:line="162" w:lineRule="exact" w:before="38" w:after="0"/>
        <w:ind w:left="992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subcontract the management of its IT infrastructure to EIT.</w:t>
      </w:r>
    </w:p>
    <w:p>
      <w:pPr>
        <w:autoSpaceDN w:val="0"/>
        <w:autoSpaceDE w:val="0"/>
        <w:widowControl/>
        <w:spacing w:line="162" w:lineRule="exact" w:before="136" w:after="0"/>
        <w:ind w:left="41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In consideration of the payments to be made and services to be performed hereunder, the parties agree as follows:</w:t>
      </w:r>
    </w:p>
    <w:p>
      <w:pPr>
        <w:autoSpaceDN w:val="0"/>
        <w:tabs>
          <w:tab w:pos="406" w:val="left"/>
        </w:tabs>
        <w:autoSpaceDE w:val="0"/>
        <w:widowControl/>
        <w:spacing w:line="162" w:lineRule="exact" w:before="162" w:after="0"/>
        <w:ind w:left="20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PURPOSE OF AGREEMENT</w:t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 Agreement documents: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2.1.1.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 services EIT renders to the Customer’s users on all the company’s levels;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2.1.2.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 clauses made regarding services and products between the Customer and EIT.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2.1.3.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 terms and conditions under which the Customer agrees to purchase and EIT agrees to provide the Services.</w:t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 definitions that apply in the present Agreement are listed in Annex 1.</w:t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60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 scope of application of this Agreement is restricted to the IT Management System of the Customer. The IT involving the industrial</w:t>
      </w:r>
    </w:p>
    <w:p>
      <w:pPr>
        <w:autoSpaceDN w:val="0"/>
        <w:autoSpaceDE w:val="0"/>
        <w:widowControl/>
        <w:spacing w:line="162" w:lineRule="exact" w:before="38" w:after="0"/>
        <w:ind w:left="992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and production environments is excluded from this Agreement.</w:t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 supervision of the Agreement is assured by EIT, represented by its Chief Executive, and by the Customer, represented by its Head</w:t>
      </w:r>
    </w:p>
    <w:p>
      <w:pPr>
        <w:autoSpaceDN w:val="0"/>
        <w:autoSpaceDE w:val="0"/>
        <w:widowControl/>
        <w:spacing w:line="162" w:lineRule="exact" w:before="38" w:after="0"/>
        <w:ind w:left="992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of Information Technology Department.</w:t>
      </w:r>
    </w:p>
    <w:p>
      <w:pPr>
        <w:autoSpaceDN w:val="0"/>
        <w:tabs>
          <w:tab w:pos="992" w:val="left"/>
        </w:tabs>
        <w:autoSpaceDE w:val="0"/>
        <w:widowControl/>
        <w:spacing w:line="160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2.5.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These specific services can be grouped in different types: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2.5.1.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Network</w:t>
      </w:r>
    </w:p>
    <w:p>
      <w:pPr>
        <w:autoSpaceDN w:val="0"/>
        <w:autoSpaceDE w:val="0"/>
        <w:widowControl/>
        <w:spacing w:line="162" w:lineRule="exact" w:before="212" w:after="0"/>
        <w:ind w:left="0" w:right="0" w:firstLine="0"/>
        <w:jc w:val="center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8422" w:after="0"/>
        <w:ind w:left="22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FERROGLOBE PLC, F-4/A, 6/24/2015</w:t>
      </w:r>
    </w:p>
    <w:p>
      <w:pPr>
        <w:sectPr>
          <w:pgSz w:w="11900" w:h="16840"/>
          <w:pgMar w:top="450" w:right="940" w:bottom="35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2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2.5.2.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Servers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2.5.3.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Applications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2.5.4.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User Workstations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2.5.5.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Standard software licences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2.5.6.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Definition of the agreed guidelines for negotiation</w:t>
      </w:r>
    </w:p>
    <w:p>
      <w:pPr>
        <w:autoSpaceDN w:val="0"/>
        <w:tabs>
          <w:tab w:pos="406" w:val="left"/>
        </w:tabs>
        <w:autoSpaceDE w:val="0"/>
        <w:widowControl/>
        <w:spacing w:line="162" w:lineRule="exact" w:before="162" w:after="0"/>
        <w:ind w:left="20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DESCRIPTION OF THE SERVICES RENDERED BY EIT</w:t>
      </w:r>
    </w:p>
    <w:p>
      <w:pPr>
        <w:autoSpaceDN w:val="0"/>
        <w:autoSpaceDE w:val="0"/>
        <w:widowControl/>
        <w:spacing w:line="162" w:lineRule="exact" w:before="136" w:after="0"/>
        <w:ind w:left="41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 specific services rendered by EIT according to this Agreement include the following:</w:t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NETWORK</w:t>
      </w:r>
    </w:p>
    <w:p>
      <w:pPr>
        <w:autoSpaceDN w:val="0"/>
        <w:autoSpaceDE w:val="0"/>
        <w:widowControl/>
        <w:spacing w:line="162" w:lineRule="exact" w:before="138" w:after="0"/>
        <w:ind w:left="41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EIT is in charge of the remote Network, which connects each workstation of the Customer to the Central Server of EIT and to Internet</w:t>
      </w:r>
    </w:p>
    <w:p>
      <w:pPr>
        <w:autoSpaceDN w:val="0"/>
        <w:autoSpaceDE w:val="0"/>
        <w:widowControl/>
        <w:spacing w:line="162" w:lineRule="exact" w:before="36" w:after="0"/>
        <w:ind w:left="41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(hereinafter “WAN”). The internal network of the factories (hereinafter “LAN”) is excluded from this Agreement and the Customer is</w:t>
      </w:r>
    </w:p>
    <w:p>
      <w:pPr>
        <w:autoSpaceDN w:val="0"/>
        <w:autoSpaceDE w:val="0"/>
        <w:widowControl/>
        <w:spacing w:line="162" w:lineRule="exact" w:before="38" w:after="0"/>
        <w:ind w:left="41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responsible for it.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3.1.1.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 Customer has contracted, taking into account the technological standards defined by EIT, an external company</w:t>
      </w:r>
    </w:p>
    <w:p>
      <w:pPr>
        <w:autoSpaceDN w:val="0"/>
        <w:autoSpaceDE w:val="0"/>
        <w:widowControl/>
        <w:spacing w:line="160" w:lineRule="exact" w:before="38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(hereinafter “Network Supplier”) for the setting up and the management of the Network. This Network Supplier is</w:t>
      </w:r>
    </w:p>
    <w:p>
      <w:pPr>
        <w:autoSpaceDN w:val="0"/>
        <w:autoSpaceDE w:val="0"/>
        <w:widowControl/>
        <w:spacing w:line="162" w:lineRule="exact" w:before="38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accountable to the Customer for the management of the Network.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3.1.2.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EIT commits itself to monitor the Network during working hours in South Africa, up to where the service rendered by the</w:t>
      </w:r>
    </w:p>
    <w:p>
      <w:pPr>
        <w:autoSpaceDN w:val="0"/>
        <w:autoSpaceDE w:val="0"/>
        <w:widowControl/>
        <w:spacing w:line="162" w:lineRule="exact" w:before="38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Network Supplier allows.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" w:hAnsi="TimesNewRomanPS" w:eastAsia="TimesNewRomanPS"/>
          <w:b w:val="0"/>
          <w:i/>
          <w:color w:val="000000"/>
          <w:sz w:val="16"/>
        </w:rPr>
        <w:t>3.1.3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EIT commits itself to alert the IT Department of the Customer when any malfunction (power cut, saturation, etc.) is</w:t>
      </w:r>
    </w:p>
    <w:p>
      <w:pPr>
        <w:autoSpaceDN w:val="0"/>
        <w:autoSpaceDE w:val="0"/>
        <w:widowControl/>
        <w:spacing w:line="162" w:lineRule="exact" w:before="36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identified, and to carry out the necessary actions with the Network Supplier in order to solve this malfunction as quickly as</w:t>
      </w:r>
    </w:p>
    <w:p>
      <w:pPr>
        <w:autoSpaceDN w:val="0"/>
        <w:autoSpaceDE w:val="0"/>
        <w:widowControl/>
        <w:spacing w:line="162" w:lineRule="exact" w:before="38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possible.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3.1.4.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EIT commits to assure a high availability (availability rate defined in Annex 2) and the proper performance (response time</w:t>
      </w:r>
    </w:p>
    <w:p>
      <w:pPr>
        <w:autoSpaceDN w:val="0"/>
        <w:autoSpaceDE w:val="0"/>
        <w:widowControl/>
        <w:spacing w:line="162" w:lineRule="exact" w:before="36" w:after="0"/>
        <w:ind w:left="0" w:right="0" w:firstLine="0"/>
        <w:jc w:val="center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and no saturation) of the Network during working hours in South Africa (established in Annex 2).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3.1.5.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 Customer and EIT commit themselves to give each other notice of any case of malfunction with the Network Supplier.</w:t>
      </w:r>
    </w:p>
    <w:p>
      <w:pPr>
        <w:autoSpaceDN w:val="0"/>
        <w:autoSpaceDE w:val="0"/>
        <w:widowControl/>
        <w:spacing w:line="162" w:lineRule="exact" w:before="212" w:after="0"/>
        <w:ind w:left="0" w:right="0" w:firstLine="0"/>
        <w:jc w:val="center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62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327"/>
        <w:gridCol w:w="3327"/>
        <w:gridCol w:w="3327"/>
      </w:tblGrid>
      <w:tr>
        <w:trPr>
          <w:trHeight w:hRule="exact" w:val="298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" w:after="0"/>
              <w:ind w:left="0" w:right="0" w:firstLine="0"/>
              <w:jc w:val="center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3.2.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" w:after="0"/>
              <w:ind w:left="192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SERVERS:</w:t>
            </w:r>
          </w:p>
        </w:tc>
        <w:tc>
          <w:tcPr>
            <w:tcW w:type="dxa" w:w="7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4" w:after="0"/>
              <w:ind w:left="68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EIT is in charge of the list of servers (hereinafter “Servers”) provided in Annex 3.</w:t>
            </w:r>
          </w:p>
        </w:tc>
      </w:tr>
      <w:tr>
        <w:trPr>
          <w:trHeight w:hRule="exact" w:val="320"/>
        </w:trPr>
        <w:tc>
          <w:tcPr>
            <w:tcW w:type="dxa" w:w="3327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6" w:after="0"/>
              <w:ind w:left="204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3.2.1.</w:t>
            </w:r>
          </w:p>
        </w:tc>
        <w:tc>
          <w:tcPr>
            <w:tcW w:type="dxa" w:w="3327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3327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0" w:after="0"/>
              <w:ind w:left="204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3.2.2.</w:t>
            </w:r>
          </w:p>
        </w:tc>
        <w:tc>
          <w:tcPr>
            <w:tcW w:type="dxa" w:w="7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0" w:after="0"/>
              <w:ind w:left="68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Customer is responsible for the maintenance of the hardware of the local servers.</w:t>
            </w:r>
          </w:p>
        </w:tc>
      </w:tr>
      <w:tr>
        <w:trPr>
          <w:trHeight w:hRule="exact" w:val="320"/>
        </w:trPr>
        <w:tc>
          <w:tcPr>
            <w:tcW w:type="dxa" w:w="3327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4" w:after="0"/>
              <w:ind w:left="204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3.2.3.</w:t>
            </w:r>
          </w:p>
        </w:tc>
        <w:tc>
          <w:tcPr>
            <w:tcW w:type="dxa" w:w="7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4" w:after="0"/>
              <w:ind w:left="68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EIT is responsible for the maintenance of the hardware of the Central Server.</w:t>
            </w:r>
          </w:p>
        </w:tc>
      </w:tr>
      <w:tr>
        <w:trPr>
          <w:trHeight w:hRule="exact" w:val="340"/>
        </w:trPr>
        <w:tc>
          <w:tcPr>
            <w:tcW w:type="dxa" w:w="3327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8" w:after="0"/>
              <w:ind w:left="204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3.2.4.</w:t>
            </w:r>
          </w:p>
        </w:tc>
        <w:tc>
          <w:tcPr>
            <w:tcW w:type="dxa" w:w="7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8" w:after="0"/>
              <w:ind w:left="68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EIT commits to monitor the Servers during working hours in South Africa.</w:t>
            </w:r>
          </w:p>
        </w:tc>
      </w:tr>
      <w:tr>
        <w:trPr>
          <w:trHeight w:hRule="exact" w:val="262"/>
        </w:trPr>
        <w:tc>
          <w:tcPr>
            <w:tcW w:type="dxa" w:w="3327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2" w:after="0"/>
              <w:ind w:left="204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3.2.5.</w:t>
            </w:r>
          </w:p>
        </w:tc>
        <w:tc>
          <w:tcPr>
            <w:tcW w:type="dxa" w:w="7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2" w:after="0"/>
              <w:ind w:left="68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EIT must alert the IT Department of the Customer if any problem should occur in any of the Servers, within the time</w:t>
            </w:r>
          </w:p>
        </w:tc>
      </w:tr>
    </w:tbl>
    <w:p>
      <w:pPr>
        <w:autoSpaceDN w:val="0"/>
        <w:autoSpaceDE w:val="0"/>
        <w:widowControl/>
        <w:spacing w:line="162" w:lineRule="exact" w:before="20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established in Annex 2.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0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3.2.6.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EIT commits to solve any problems that may arise in the Servers, within the time established in Annex 2.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3.2.7.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EIT is in charge of supervising and assuring the proper performance of the backups. For this, it has provided the Customer</w:t>
      </w:r>
    </w:p>
    <w:p>
      <w:pPr>
        <w:autoSpaceDN w:val="0"/>
        <w:autoSpaceDE w:val="0"/>
        <w:widowControl/>
        <w:spacing w:line="162" w:lineRule="exact" w:before="38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with a backup process.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3.2.8.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 Customer commits to follow the backup process that EIT has provided for him.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3.2.9.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 Customer must alert EIT of any incidence it might detect by sending an electronic mail to sistemas@eit.es.</w:t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APPLICATIONS</w:t>
      </w:r>
    </w:p>
    <w:p>
      <w:pPr>
        <w:autoSpaceDN w:val="0"/>
        <w:autoSpaceDE w:val="0"/>
        <w:widowControl/>
        <w:spacing w:line="162" w:lineRule="exact" w:before="136" w:after="0"/>
        <w:ind w:left="41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EIT provides and is responsible for the support and maintenance of the applications (defined in the table in Annex 4).</w:t>
      </w:r>
    </w:p>
    <w:p>
      <w:pPr>
        <w:autoSpaceDN w:val="0"/>
        <w:autoSpaceDE w:val="0"/>
        <w:widowControl/>
        <w:spacing w:line="162" w:lineRule="exact" w:before="138" w:after="0"/>
        <w:ind w:left="41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For each of these applications, EIT commits to: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0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3.3.1.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Provide the Customer with hardware installations (servers, disks, backup tapes, etc.) which enable the performance of the</w:t>
      </w:r>
    </w:p>
    <w:p>
      <w:pPr>
        <w:autoSpaceDN w:val="0"/>
        <w:autoSpaceDE w:val="0"/>
        <w:widowControl/>
        <w:spacing w:line="162" w:lineRule="exact" w:before="38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application.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3.3.2.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Assure the availability of the application (which varies for each application, defined in Annex 2).</w:t>
      </w:r>
    </w:p>
    <w:p>
      <w:pPr>
        <w:autoSpaceDN w:val="0"/>
        <w:autoSpaceDE w:val="0"/>
        <w:widowControl/>
        <w:spacing w:line="162" w:lineRule="exact" w:before="212" w:after="0"/>
        <w:ind w:left="0" w:right="0" w:firstLine="0"/>
        <w:jc w:val="center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2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3.3.3.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Monitor the applications to analyse the transaction charges and carry out the appropriate corrections in order to optimize</w:t>
      </w:r>
    </w:p>
    <w:p>
      <w:pPr>
        <w:autoSpaceDN w:val="0"/>
        <w:autoSpaceDE w:val="0"/>
        <w:widowControl/>
        <w:spacing w:line="162" w:lineRule="exact" w:before="38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 system.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3.3.4.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Provide Level 2 assistance to users via direct telephone numbers of the persons responsible for each application, during</w:t>
      </w:r>
    </w:p>
    <w:p>
      <w:pPr>
        <w:autoSpaceDN w:val="0"/>
        <w:autoSpaceDE w:val="0"/>
        <w:widowControl/>
        <w:spacing w:line="162" w:lineRule="exact" w:before="38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 hours established in Annex 2. If there is a public holiday in Spain, EIT commits to provide for the Customer a central</w:t>
      </w:r>
    </w:p>
    <w:p>
      <w:pPr>
        <w:autoSpaceDN w:val="0"/>
        <w:autoSpaceDE w:val="0"/>
        <w:widowControl/>
        <w:spacing w:line="162" w:lineRule="exact" w:before="36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telephone number to communicate any incidences that may occur.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3.3.5.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Solve the problems communicated by e-mail to incident.smelters@eit.es during working hours in South Africa, within time</w:t>
      </w:r>
    </w:p>
    <w:p>
      <w:pPr>
        <w:autoSpaceDN w:val="0"/>
        <w:autoSpaceDE w:val="0"/>
        <w:widowControl/>
        <w:spacing w:line="162" w:lineRule="exact" w:before="38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according to the severity of the problem, defined in Annex 2.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3.3.6.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Maintain the present interfaces between the central application GES-INDUS and the Customer’s local applications: Payroll</w:t>
      </w:r>
    </w:p>
    <w:p>
      <w:pPr>
        <w:autoSpaceDN w:val="0"/>
        <w:autoSpaceDE w:val="0"/>
        <w:widowControl/>
        <w:spacing w:line="162" w:lineRule="exact" w:before="36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Gesprod and Maximo.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3.3.7.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Guarantee the reliability of the application (software and databases) and of the hardware support (server, disks, etc.), to</w:t>
      </w:r>
    </w:p>
    <w:p>
      <w:pPr>
        <w:autoSpaceDN w:val="0"/>
        <w:autoSpaceDE w:val="0"/>
        <w:widowControl/>
        <w:spacing w:line="162" w:lineRule="exact" w:before="38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prevent any loss of information that could affect the Customer’s business.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3.3.8.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Carry out the backups and necessary restorations in order to assure the durability of the application and prevent any loss</w:t>
      </w:r>
    </w:p>
    <w:p>
      <w:pPr>
        <w:autoSpaceDN w:val="0"/>
        <w:autoSpaceDE w:val="0"/>
        <w:widowControl/>
        <w:spacing w:line="162" w:lineRule="exact" w:before="36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of information.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3.3.9.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Guarantee a high service level (reasonable response time and correct progress of transactions). With regard to the</w:t>
      </w:r>
    </w:p>
    <w:p>
      <w:pPr>
        <w:autoSpaceDN w:val="0"/>
        <w:autoSpaceDE w:val="0"/>
        <w:widowControl/>
        <w:spacing w:line="162" w:lineRule="exact" w:before="38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electronic mail service, EIT will be able, after contacting with the Customer, to restrict the type and size of exchanged files.</w:t>
      </w:r>
    </w:p>
    <w:p>
      <w:pPr>
        <w:autoSpaceDN w:val="0"/>
        <w:autoSpaceDE w:val="0"/>
        <w:widowControl/>
        <w:spacing w:line="160" w:lineRule="exact" w:before="38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It is noted that the customer currently do not make use of this service but has the option to use it at no additional cost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3.3.10.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Assure the security of the access to information: the Customer is responsible for the opening of accesses to the</w:t>
      </w:r>
    </w:p>
    <w:p>
      <w:pPr>
        <w:autoSpaceDN w:val="0"/>
        <w:autoSpaceDE w:val="0"/>
        <w:widowControl/>
        <w:spacing w:line="162" w:lineRule="exact" w:before="38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applications. EIT commits to supply the necessary securities to ensure the access rights defined by the Customer</w:t>
      </w:r>
    </w:p>
    <w:p>
      <w:pPr>
        <w:autoSpaceDN w:val="0"/>
        <w:autoSpaceDE w:val="0"/>
        <w:widowControl/>
        <w:spacing w:line="162" w:lineRule="exact" w:before="38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guarantee access only to the data authorized by the Customer.</w:t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WORKSTATIONS AND PRINTERS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0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3.4.1.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 Customer is responsible for the purchase and maintenance of the workstations and printers.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3.4.2.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EIT commits to assist the Customer to implement a master that allows the quick installation of all the standard software in</w:t>
      </w:r>
    </w:p>
    <w:p>
      <w:pPr>
        <w:autoSpaceDN w:val="0"/>
        <w:autoSpaceDE w:val="0"/>
        <w:widowControl/>
        <w:spacing w:line="162" w:lineRule="exact" w:before="38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workstations.</w:t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3.5.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STANDARD SOFTWARE LICENCES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3.5.1.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 Customer will benefit from the group contracts negotiated by EIT in name of Group Villar Mir for the purchase of</w:t>
      </w:r>
    </w:p>
    <w:p>
      <w:pPr>
        <w:autoSpaceDN w:val="0"/>
        <w:autoSpaceDE w:val="0"/>
        <w:widowControl/>
        <w:spacing w:line="162" w:lineRule="exact" w:before="36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licences.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3.5.2.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 purchase of licences will be carried out directly by the Customer.</w:t>
      </w:r>
    </w:p>
    <w:p>
      <w:pPr>
        <w:autoSpaceDN w:val="0"/>
        <w:autoSpaceDE w:val="0"/>
        <w:widowControl/>
        <w:spacing w:line="162" w:lineRule="exact" w:before="212" w:after="0"/>
        <w:ind w:left="0" w:right="0" w:firstLine="0"/>
        <w:jc w:val="center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2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3.5.3.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EIT declares and guarantees the Customer the legal purchase of licences of all the software necessary for the use of the</w:t>
      </w:r>
    </w:p>
    <w:p>
      <w:pPr>
        <w:autoSpaceDN w:val="0"/>
        <w:autoSpaceDE w:val="0"/>
        <w:widowControl/>
        <w:spacing w:line="162" w:lineRule="exact" w:before="38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central applications created by EIT.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3.5.4.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EIT must inform the Customer in due course if any changes take place in licences or in their rights of use.</w:t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3.6.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DEFINITION OF STANDARDS AND AGREED GUIDELINES</w:t>
      </w:r>
    </w:p>
    <w:p>
      <w:pPr>
        <w:autoSpaceDN w:val="0"/>
        <w:autoSpaceDE w:val="0"/>
        <w:widowControl/>
        <w:spacing w:line="162" w:lineRule="exact" w:before="136" w:after="0"/>
        <w:ind w:left="41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EIT is responsible for: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3.6.1.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 definition of the technological standards to be used in the Customer’s IT environment.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3.6.2.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 agreed guidelines with the suppliers, in order to assure the provision of certain services or the purchase of certain IT</w:t>
      </w:r>
    </w:p>
    <w:p>
      <w:pPr>
        <w:autoSpaceDN w:val="0"/>
        <w:autoSpaceDE w:val="0"/>
        <w:widowControl/>
        <w:spacing w:line="162" w:lineRule="exact" w:before="38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tools which, according to EIT, are necessary for the provision of the mentioned services.</w:t>
      </w:r>
    </w:p>
    <w:p>
      <w:pPr>
        <w:autoSpaceDN w:val="0"/>
        <w:tabs>
          <w:tab w:pos="406" w:val="left"/>
        </w:tabs>
        <w:autoSpaceDE w:val="0"/>
        <w:widowControl/>
        <w:spacing w:line="162" w:lineRule="exact" w:before="162" w:after="0"/>
        <w:ind w:left="20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PROJECTS</w:t>
      </w:r>
    </w:p>
    <w:p>
      <w:pPr>
        <w:autoSpaceDN w:val="0"/>
        <w:tabs>
          <w:tab w:pos="992" w:val="left"/>
        </w:tabs>
        <w:autoSpaceDE w:val="0"/>
        <w:widowControl/>
        <w:spacing w:line="160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Apart from these services, EIT must provide other supplementary services, not considered in the present Agreement. These services</w:t>
      </w:r>
    </w:p>
    <w:p>
      <w:pPr>
        <w:autoSpaceDN w:val="0"/>
        <w:autoSpaceDE w:val="0"/>
        <w:widowControl/>
        <w:spacing w:line="162" w:lineRule="exact" w:before="38" w:after="0"/>
        <w:ind w:left="992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include the study, development and implementation of new applications, changing to new platforms, as well as any other service that</w:t>
      </w:r>
    </w:p>
    <w:p>
      <w:pPr>
        <w:autoSpaceDN w:val="0"/>
        <w:autoSpaceDE w:val="0"/>
        <w:widowControl/>
        <w:spacing w:line="162" w:lineRule="exact" w:before="38" w:after="0"/>
        <w:ind w:left="992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 Customer may need in the field of IT services.</w:t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 terms and conditions of these services will be separately negotiated if and when it applies.</w:t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For that purpose and before the execution of the mentioned services by EIT, the Customer will pay EIT the package price, previously</w:t>
      </w:r>
    </w:p>
    <w:p>
      <w:pPr>
        <w:autoSpaceDN w:val="0"/>
        <w:autoSpaceDE w:val="0"/>
        <w:widowControl/>
        <w:spacing w:line="162" w:lineRule="exact" w:before="36" w:after="0"/>
        <w:ind w:left="992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agreed by the parties. These services can either be carried out directly by EIT or by subcontracts in the sole discretion of EIT, which</w:t>
      </w:r>
    </w:p>
    <w:p>
      <w:pPr>
        <w:autoSpaceDN w:val="0"/>
        <w:autoSpaceDE w:val="0"/>
        <w:widowControl/>
        <w:spacing w:line="162" w:lineRule="exact" w:before="38" w:after="0"/>
        <w:ind w:left="992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will have to notify the customer of this fact before the project commence. However if EIT decides to subcontract the project EIT</w:t>
      </w:r>
    </w:p>
    <w:p>
      <w:pPr>
        <w:autoSpaceDN w:val="0"/>
        <w:autoSpaceDE w:val="0"/>
        <w:widowControl/>
        <w:spacing w:line="162" w:lineRule="exact" w:before="36" w:after="0"/>
        <w:ind w:left="992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remains responsible for the quality, the cost and the supervision of the services to the satisfaction of the customer.</w:t>
      </w:r>
    </w:p>
    <w:p>
      <w:pPr>
        <w:autoSpaceDN w:val="0"/>
        <w:autoSpaceDE w:val="0"/>
        <w:widowControl/>
        <w:spacing w:line="162" w:lineRule="exact" w:before="212" w:after="0"/>
        <w:ind w:left="0" w:right="0" w:firstLine="0"/>
        <w:jc w:val="center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06" w:val="left"/>
        </w:tabs>
        <w:autoSpaceDE w:val="0"/>
        <w:widowControl/>
        <w:spacing w:line="162" w:lineRule="exact" w:before="122" w:after="0"/>
        <w:ind w:left="20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WORK PLACE AND NATURE OF SERVICES</w:t>
      </w:r>
    </w:p>
    <w:p>
      <w:pPr>
        <w:autoSpaceDN w:val="0"/>
        <w:tabs>
          <w:tab w:pos="992" w:val="left"/>
        </w:tabs>
        <w:autoSpaceDE w:val="0"/>
        <w:widowControl/>
        <w:spacing w:line="200" w:lineRule="exact" w:before="124" w:after="0"/>
        <w:ind w:left="406" w:right="432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services described in this Agreement are provided from the following location: EIT, P° de la Castellana, 259D, 28046, Madrid,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SPAIN.</w:t>
      </w:r>
    </w:p>
    <w:p>
      <w:pPr>
        <w:autoSpaceDN w:val="0"/>
        <w:tabs>
          <w:tab w:pos="992" w:val="left"/>
        </w:tabs>
        <w:autoSpaceDE w:val="0"/>
        <w:widowControl/>
        <w:spacing w:line="198" w:lineRule="exact" w:before="126" w:after="0"/>
        <w:ind w:left="406" w:right="432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this reason, EIT uses its own IT environment, as well as the local equipment of the Customer, connected by a teleprocessing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system to the Central Server of EIT.</w:t>
      </w:r>
    </w:p>
    <w:p>
      <w:pPr>
        <w:autoSpaceDN w:val="0"/>
        <w:tabs>
          <w:tab w:pos="992" w:val="left"/>
        </w:tabs>
        <w:autoSpaceDE w:val="0"/>
        <w:widowControl/>
        <w:spacing w:line="200" w:lineRule="exact" w:before="124" w:after="0"/>
        <w:ind w:left="406" w:right="144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necessary, EIT personnel will travel, in prior agreement with the Customer, to the different factories of the company. In this case, the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travelling expenses (travel, accommodation and meals) will be paid by the Customer.</w:t>
      </w:r>
    </w:p>
    <w:p>
      <w:pPr>
        <w:autoSpaceDN w:val="0"/>
        <w:tabs>
          <w:tab w:pos="992" w:val="left"/>
        </w:tabs>
        <w:autoSpaceDE w:val="0"/>
        <w:widowControl/>
        <w:spacing w:line="200" w:lineRule="exact" w:before="124" w:after="0"/>
        <w:ind w:left="406" w:right="288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IT environment belongs to EIT during the total course of the Agreement, with exception of the services subcontracted to third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parties by EIT, for which the subcontractor will be responsible.</w:t>
      </w:r>
    </w:p>
    <w:p>
      <w:pPr>
        <w:autoSpaceDN w:val="0"/>
        <w:tabs>
          <w:tab w:pos="992" w:val="left"/>
        </w:tabs>
        <w:autoSpaceDE w:val="0"/>
        <w:widowControl/>
        <w:spacing w:line="200" w:lineRule="exact" w:before="122" w:after="102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5.5.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 is responsible for the choice of the equipment considered the most appropriate in order to reach the service level convened in this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This equipment, and its further updates, should it arise, will be shown to the Customer and agreed upon prior to purchase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installation and refusal by the customer will only be valid upon presentation of a justification to EIT. EIT is responsible for the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maintenance of its own IT environment, as well as of its maintenance and modernization expenses.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3327"/>
        <w:gridCol w:w="3327"/>
        <w:gridCol w:w="3327"/>
      </w:tblGrid>
      <w:tr>
        <w:trPr>
          <w:trHeight w:hRule="exact" w:val="300"/>
        </w:trPr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" w:after="0"/>
              <w:ind w:left="0" w:right="220" w:firstLine="0"/>
              <w:jc w:val="righ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5.5.1.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" w:after="0"/>
              <w:ind w:left="228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EIT STAFF</w:t>
            </w:r>
          </w:p>
        </w:tc>
        <w:tc>
          <w:tcPr>
            <w:tcW w:type="dxa" w:w="7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4" w:after="0"/>
              <w:ind w:left="0" w:right="0" w:firstLine="0"/>
              <w:jc w:val="center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work team appointed by EIT to fullfill this Agreement is responsible only to EIT, in accordance with the</w:t>
            </w:r>
          </w:p>
        </w:tc>
      </w:tr>
      <w:tr>
        <w:trPr>
          <w:trHeight w:hRule="exact" w:val="264"/>
        </w:trPr>
        <w:tc>
          <w:tcPr>
            <w:tcW w:type="dxa" w:w="3327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4" w:after="0"/>
              <w:ind w:left="240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5.5.1.1.</w:t>
            </w:r>
          </w:p>
        </w:tc>
        <w:tc>
          <w:tcPr>
            <w:tcW w:type="dxa" w:w="332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0" w:lineRule="exact" w:before="0" w:after="0"/>
        <w:ind w:left="268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Spanish law. EIT will supervise and will be responsible for the behaviour and tasks of this team, especially on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what concerns the confidentiality of the information.</w:t>
      </w:r>
    </w:p>
    <w:p>
      <w:pPr>
        <w:autoSpaceDN w:val="0"/>
        <w:tabs>
          <w:tab w:pos="2684" w:val="left"/>
        </w:tabs>
        <w:autoSpaceDE w:val="0"/>
        <w:widowControl/>
        <w:spacing w:line="200" w:lineRule="exact" w:before="124" w:after="0"/>
        <w:ind w:left="1800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5.5.1.2.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Customer does not have any responsibility for the accidents that might be suffered by the staff of EIT, or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for the damages that might be caused by it to third parties, in the framework of its activities.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5.5.2.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SUBCONTRACTING</w:t>
      </w:r>
    </w:p>
    <w:p>
      <w:pPr>
        <w:autoSpaceDN w:val="0"/>
        <w:autoSpaceDE w:val="0"/>
        <w:widowControl/>
        <w:spacing w:line="200" w:lineRule="exact" w:before="98" w:after="0"/>
        <w:ind w:left="269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 assumes full responsibility for the execution of the tasks carried out by any subcontractor. The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subcontractor is equally obliged to assure the service level, the confidentiality and the security convened in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Agreement, for the provision of these services. It is the responsibility of EIT to enter into an agreement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with the subcontractor to ensure their performance.</w:t>
      </w:r>
    </w:p>
    <w:p>
      <w:pPr>
        <w:autoSpaceDN w:val="0"/>
        <w:autoSpaceDE w:val="0"/>
        <w:widowControl/>
        <w:spacing w:line="162" w:lineRule="exact" w:before="212" w:after="0"/>
        <w:ind w:left="0" w:right="0" w:firstLine="0"/>
        <w:jc w:val="center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06" w:val="left"/>
        </w:tabs>
        <w:autoSpaceDE w:val="0"/>
        <w:widowControl/>
        <w:spacing w:line="162" w:lineRule="exact" w:before="122" w:after="0"/>
        <w:ind w:left="20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SUPERVISION OF THE SERVICE LEVEL</w:t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EIT commits to provide monthly measurements to analyse the service level defined in Annex 2.</w:t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 parties will analyse monthly these measurements in order to identify what can be improved.</w:t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 parties will review annually by mutual agreement the contents and aims of the Service Level Agreement.</w:t>
      </w:r>
    </w:p>
    <w:p>
      <w:pPr>
        <w:autoSpaceDN w:val="0"/>
        <w:tabs>
          <w:tab w:pos="406" w:val="left"/>
        </w:tabs>
        <w:autoSpaceDE w:val="0"/>
        <w:widowControl/>
        <w:spacing w:line="162" w:lineRule="exact" w:before="162" w:after="0"/>
        <w:ind w:left="20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PAYMENTS AND PRICING</w:t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TOTAL ANNUAL AMOUNT</w:t>
      </w:r>
    </w:p>
    <w:p>
      <w:pPr>
        <w:autoSpaceDN w:val="0"/>
        <w:autoSpaceDE w:val="0"/>
        <w:widowControl/>
        <w:spacing w:line="162" w:lineRule="exact" w:before="136" w:after="0"/>
        <w:ind w:left="1800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 total annual amount to be paid, excluding taxes, for the year 2009, for the total provision of the services described in</w:t>
      </w:r>
    </w:p>
    <w:p>
      <w:pPr>
        <w:autoSpaceDN w:val="0"/>
        <w:autoSpaceDE w:val="0"/>
        <w:widowControl/>
        <w:spacing w:line="162" w:lineRule="exact" w:before="38" w:after="0"/>
        <w:ind w:left="1800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Article 2 of this Agreement, as well as the supervision of these (establishment of measurements and supervision meetings)</w:t>
      </w:r>
    </w:p>
    <w:p>
      <w:pPr>
        <w:autoSpaceDN w:val="0"/>
        <w:autoSpaceDE w:val="0"/>
        <w:widowControl/>
        <w:spacing w:line="162" w:lineRule="exact" w:before="38" w:after="0"/>
        <w:ind w:left="1800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will be:</w:t>
      </w:r>
    </w:p>
    <w:p>
      <w:pPr>
        <w:autoSpaceDN w:val="0"/>
        <w:autoSpaceDE w:val="0"/>
        <w:widowControl/>
        <w:spacing w:line="162" w:lineRule="exact" w:before="136" w:after="0"/>
        <w:ind w:left="1800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TWO HUNDRED THOUSAND EUROS (200,000 €)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7.1.1.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This amount has been fixed for the two factories of Silicon Smelters: Polokwane and Rand Carbide, being the annual</w:t>
      </w:r>
    </w:p>
    <w:p>
      <w:pPr>
        <w:autoSpaceDN w:val="0"/>
        <w:autoSpaceDE w:val="0"/>
        <w:widowControl/>
        <w:spacing w:line="162" w:lineRule="exact" w:before="38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amount per factory A HUNDRED THOUSAND EUROS (100,000 €).</w:t>
      </w:r>
    </w:p>
    <w:p>
      <w:pPr>
        <w:autoSpaceDN w:val="0"/>
        <w:tabs>
          <w:tab w:pos="1788" w:val="left"/>
        </w:tabs>
        <w:autoSpaceDE w:val="0"/>
        <w:widowControl/>
        <w:spacing w:line="160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7.1.2.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If one of the factories closes down, the total amount due will be reduced pro rata for the rest of the annual period for the</w:t>
      </w:r>
    </w:p>
    <w:p>
      <w:pPr>
        <w:autoSpaceDN w:val="0"/>
        <w:autoSpaceDE w:val="0"/>
        <w:widowControl/>
        <w:spacing w:line="162" w:lineRule="exact" w:before="38" w:after="102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factory’s annual amount.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327"/>
        <w:gridCol w:w="3327"/>
        <w:gridCol w:w="3327"/>
      </w:tblGrid>
      <w:tr>
        <w:trPr>
          <w:trHeight w:hRule="exact" w:val="29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" w:after="0"/>
              <w:ind w:left="0" w:right="0" w:firstLine="0"/>
              <w:jc w:val="center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7.2.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" w:after="0"/>
              <w:ind w:left="192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INVOICING</w:t>
            </w:r>
          </w:p>
        </w:tc>
        <w:tc>
          <w:tcPr>
            <w:tcW w:type="dxa" w:w="5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4" w:after="0"/>
              <w:ind w:left="8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invoicing of this amount will be carried out quarterly.</w:t>
            </w:r>
          </w:p>
        </w:tc>
      </w:tr>
      <w:tr>
        <w:trPr>
          <w:trHeight w:hRule="exact" w:val="314"/>
        </w:trPr>
        <w:tc>
          <w:tcPr>
            <w:tcW w:type="dxa" w:w="3327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2" w:after="0"/>
              <w:ind w:left="204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7.2.1.</w:t>
            </w:r>
          </w:p>
        </w:tc>
        <w:tc>
          <w:tcPr>
            <w:tcW w:type="dxa" w:w="332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2" w:lineRule="exact" w:before="176" w:after="0"/>
        <w:ind w:left="20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 invoices will be issued by EIT at the start of each term. Such invoice must be paid by the customer within 45 days of the date on which the</w:t>
      </w:r>
    </w:p>
    <w:p>
      <w:pPr>
        <w:autoSpaceDN w:val="0"/>
        <w:autoSpaceDE w:val="0"/>
        <w:widowControl/>
        <w:spacing w:line="162" w:lineRule="exact" w:before="38" w:after="0"/>
        <w:ind w:left="20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invoice is issued.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7.2.2.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INFRASTRUCTURE COSTS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7.2.3.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 costs of the communication lines, the network infrastructure, the local servers, the micro computing material (PC and</w:t>
      </w:r>
    </w:p>
    <w:p>
      <w:pPr>
        <w:autoSpaceDN w:val="0"/>
        <w:autoSpaceDE w:val="0"/>
        <w:widowControl/>
        <w:spacing w:line="162" w:lineRule="exact" w:before="36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printers) are the Customer’s responsibility and it is not included in the total annual amount defined in this Agreement.</w:t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ANNUAL PAYMENT REVIEW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7.3.1.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 amount defined in Article 6.1 will be subjected to annual revision, following the publication of the Consumer Price</w:t>
      </w:r>
    </w:p>
    <w:p>
      <w:pPr>
        <w:autoSpaceDN w:val="0"/>
        <w:autoSpaceDE w:val="0"/>
        <w:widowControl/>
        <w:spacing w:line="162" w:lineRule="exact" w:before="38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Index in Spain (Spanish CPI) in January of each financial year by the National Statistics Institute of Spain. It will</w:t>
      </w:r>
    </w:p>
    <w:p>
      <w:pPr>
        <w:autoSpaceDN w:val="0"/>
        <w:autoSpaceDE w:val="0"/>
        <w:widowControl/>
        <w:spacing w:line="162" w:lineRule="exact" w:before="36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correspond to the financial year that has concluded.</w:t>
      </w:r>
    </w:p>
    <w:p>
      <w:pPr>
        <w:autoSpaceDN w:val="0"/>
        <w:autoSpaceDE w:val="0"/>
        <w:widowControl/>
        <w:spacing w:line="162" w:lineRule="exact" w:before="212" w:after="0"/>
        <w:ind w:left="0" w:right="0" w:firstLine="0"/>
        <w:jc w:val="center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2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7.3.2.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 Annual Package Price does not include a protection to inflation. For this reason, the amount will be adjusted annually,</w:t>
      </w:r>
    </w:p>
    <w:p>
      <w:pPr>
        <w:autoSpaceDN w:val="0"/>
        <w:autoSpaceDE w:val="0"/>
        <w:widowControl/>
        <w:spacing w:line="162" w:lineRule="exact" w:before="38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according to the growth of the Spanish CPI as was indicated above.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7.3.3.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new payment is calculated using the following formula: </w:t>
      </w:r>
      <w:r>
        <w:rPr>
          <w:w w:val="101.18680000305176"/>
          <w:rFonts w:ascii="TimesNewRomanPS" w:hAnsi="TimesNewRomanPS" w:eastAsia="TimesNewRomanPS"/>
          <w:b w:val="0"/>
          <w:i/>
          <w:color w:val="000000"/>
          <w:sz w:val="16"/>
        </w:rPr>
        <w:t>R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= </w:t>
      </w:r>
      <w:r>
        <w:rPr>
          <w:w w:val="101.18680000305176"/>
          <w:rFonts w:ascii="TimesNewRomanPS" w:hAnsi="TimesNewRomanPS" w:eastAsia="TimesNewRomanPS"/>
          <w:b w:val="0"/>
          <w:i/>
          <w:color w:val="000000"/>
          <w:sz w:val="16"/>
        </w:rPr>
        <w:t>R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0 * (</w:t>
      </w:r>
      <w:r>
        <w:rPr>
          <w:w w:val="101.18680000305176"/>
          <w:rFonts w:ascii="TimesNewRomanPS" w:hAnsi="TimesNewRomanPS" w:eastAsia="TimesNewRomanPS"/>
          <w:b w:val="0"/>
          <w:i/>
          <w:color w:val="000000"/>
          <w:sz w:val="16"/>
        </w:rPr>
        <w:t>S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+1), where: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7.3.4.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R0 is the payment corresponding to the previous year.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7.3.5.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R is the new payment, and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7.3.6.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S is the last Spanish CPI published on the revision date.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7.3.7.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As a result, once the first year, since the date the Agreement was executed, has passed, and on this same date on the</w:t>
      </w:r>
    </w:p>
    <w:p>
      <w:pPr>
        <w:autoSpaceDN w:val="0"/>
        <w:autoSpaceDE w:val="0"/>
        <w:widowControl/>
        <w:spacing w:line="162" w:lineRule="exact" w:before="36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following years, the annual price will be modified in proportion with the growth of the Spanish CPI.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7.3.8.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In case that the National Statistics Institute of Spain does not publish the CPI or it be significantly modified in form and</w:t>
      </w:r>
    </w:p>
    <w:p>
      <w:pPr>
        <w:autoSpaceDN w:val="0"/>
        <w:autoSpaceDE w:val="0"/>
        <w:widowControl/>
        <w:spacing w:line="162" w:lineRule="exact" w:before="38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content, the parties will agree to a new equivalent measurement, which must be published at least annually.</w:t>
      </w:r>
    </w:p>
    <w:p>
      <w:pPr>
        <w:autoSpaceDN w:val="0"/>
        <w:tabs>
          <w:tab w:pos="406" w:val="left"/>
        </w:tabs>
        <w:autoSpaceDE w:val="0"/>
        <w:widowControl/>
        <w:spacing w:line="162" w:lineRule="exact" w:before="162" w:after="0"/>
        <w:ind w:left="20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INTELLECTUAL PROPERTY</w:t>
      </w:r>
    </w:p>
    <w:p>
      <w:pPr>
        <w:autoSpaceDN w:val="0"/>
        <w:tabs>
          <w:tab w:pos="992" w:val="left"/>
        </w:tabs>
        <w:autoSpaceDE w:val="0"/>
        <w:widowControl/>
        <w:spacing w:line="160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 Intellectual Property of the programmes in the application GES-INDUS, used by the Customer’s exploitation of the management</w:t>
      </w:r>
    </w:p>
    <w:p>
      <w:pPr>
        <w:autoSpaceDN w:val="0"/>
        <w:autoSpaceDE w:val="0"/>
        <w:widowControl/>
        <w:spacing w:line="162" w:lineRule="exact" w:before="38" w:after="0"/>
        <w:ind w:left="992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systems, belongs to EIT.</w:t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 rights of Intellectual Property also protect the programmes that might be created, and the data processing, accounts, and diagrams</w:t>
      </w:r>
    </w:p>
    <w:p>
      <w:pPr>
        <w:autoSpaceDN w:val="0"/>
        <w:autoSpaceDE w:val="0"/>
        <w:widowControl/>
        <w:spacing w:line="162" w:lineRule="exact" w:before="38" w:after="0"/>
        <w:ind w:left="992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generated by the mentioned programme.</w:t>
      </w:r>
    </w:p>
    <w:p>
      <w:pPr>
        <w:autoSpaceDN w:val="0"/>
        <w:tabs>
          <w:tab w:pos="406" w:val="left"/>
        </w:tabs>
        <w:autoSpaceDE w:val="0"/>
        <w:widowControl/>
        <w:spacing w:line="162" w:lineRule="exact" w:before="162" w:after="0"/>
        <w:ind w:left="20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WARRANTY</w:t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60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Solution’s Adequacy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9.1.1.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EIT guarantees that the solution suggested to the Customer in each moment is the best possible one for the needs of the</w:t>
      </w:r>
    </w:p>
    <w:p>
      <w:pPr>
        <w:autoSpaceDN w:val="0"/>
        <w:autoSpaceDE w:val="0"/>
        <w:widowControl/>
        <w:spacing w:line="162" w:lineRule="exact" w:before="38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Customer.</w:t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Cost Saving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9.2.1.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EIT declares that the way of acting will always be governed by the cost saving principle.</w:t>
      </w:r>
    </w:p>
    <w:p>
      <w:pPr>
        <w:autoSpaceDN w:val="0"/>
        <w:autoSpaceDE w:val="0"/>
        <w:widowControl/>
        <w:spacing w:line="162" w:lineRule="exact" w:before="212" w:after="0"/>
        <w:ind w:left="0" w:right="0" w:firstLine="0"/>
        <w:jc w:val="center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2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9.3.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Technology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9.3.1.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EIT commits to maintain its IT environment in accordance to the technological advances, in order to prevent it from</w:t>
      </w:r>
    </w:p>
    <w:p>
      <w:pPr>
        <w:autoSpaceDN w:val="0"/>
        <w:autoSpaceDE w:val="0"/>
        <w:widowControl/>
        <w:spacing w:line="162" w:lineRule="exact" w:before="38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becoming obsolete.</w:t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9.4.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Quality Control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9.4.1.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EIT guarantees that the services described in this Agreement will be rendered in accordance with the best practice, a</w:t>
      </w:r>
    </w:p>
    <w:p>
      <w:pPr>
        <w:autoSpaceDN w:val="0"/>
        <w:autoSpaceDE w:val="0"/>
        <w:widowControl/>
        <w:spacing w:line="162" w:lineRule="exact" w:before="36" w:after="102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quality level accepted by the Customer, and in accordance with the service levels defined in Annex 2.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327"/>
        <w:gridCol w:w="3327"/>
        <w:gridCol w:w="3327"/>
      </w:tblGrid>
      <w:tr>
        <w:trPr>
          <w:trHeight w:hRule="exact" w:val="284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" w:after="0"/>
              <w:ind w:left="0" w:right="0" w:firstLine="0"/>
              <w:jc w:val="center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9.5.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" w:after="0"/>
              <w:ind w:left="192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Availability</w:t>
            </w:r>
          </w:p>
        </w:tc>
        <w:tc>
          <w:tcPr>
            <w:tcW w:type="dxa" w:w="8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4" w:after="0"/>
              <w:ind w:left="28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IT staff of EIT will carry out the exploitation of the services during working hours in South Africa, except for urgent</w:t>
            </w:r>
          </w:p>
        </w:tc>
      </w:tr>
      <w:tr>
        <w:trPr>
          <w:trHeight w:hRule="exact" w:val="282"/>
        </w:trPr>
        <w:tc>
          <w:tcPr>
            <w:tcW w:type="dxa" w:w="3327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0" w:after="0"/>
              <w:ind w:left="204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9.5.1.</w:t>
            </w:r>
          </w:p>
        </w:tc>
        <w:tc>
          <w:tcPr>
            <w:tcW w:type="dxa" w:w="332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2" w:lineRule="exact" w:before="18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actions that will be carried out exceptionally, if it were necessary, out of the established hours.</w:t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9.6.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Data and Backup Security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9.6.1.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EIT will produce a daily backup copy of the data and the applications residing in its IT environment, in order to re-</w:t>
      </w:r>
    </w:p>
    <w:p>
      <w:pPr>
        <w:autoSpaceDN w:val="0"/>
        <w:autoSpaceDE w:val="0"/>
        <w:widowControl/>
        <w:spacing w:line="162" w:lineRule="exact" w:before="36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establish and retrieve lost information.</w:t>
      </w:r>
    </w:p>
    <w:p>
      <w:pPr>
        <w:autoSpaceDN w:val="0"/>
        <w:tabs>
          <w:tab w:pos="406" w:val="left"/>
        </w:tabs>
        <w:autoSpaceDE w:val="0"/>
        <w:widowControl/>
        <w:spacing w:line="162" w:lineRule="exact" w:before="162" w:after="0"/>
        <w:ind w:left="20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LIABILITY</w:t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EIT is responsible for any damages caused to the Customer or to third parties, when these result from EIT not satisfying the</w:t>
      </w:r>
    </w:p>
    <w:p>
      <w:pPr>
        <w:autoSpaceDN w:val="0"/>
        <w:autoSpaceDE w:val="0"/>
        <w:widowControl/>
        <w:spacing w:line="162" w:lineRule="exact" w:before="38" w:after="0"/>
        <w:ind w:left="992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contractual obligations.</w:t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Nevertheless, EIT will be free of responsibility, in case of not satisfying its obligations, if he can prove that this was due to force</w:t>
      </w:r>
    </w:p>
    <w:p>
      <w:pPr>
        <w:autoSpaceDN w:val="0"/>
        <w:autoSpaceDE w:val="0"/>
        <w:widowControl/>
        <w:spacing w:line="162" w:lineRule="exact" w:before="36" w:after="0"/>
        <w:ind w:left="992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majeure or external causes out of his control, like accidents, natural disasters, vandalism acts or theft.</w:t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 liability of EIT will be limited to a value equal to contractual value as per clause 7.1 and will not exceed this value.</w:t>
      </w:r>
    </w:p>
    <w:p>
      <w:pPr>
        <w:autoSpaceDN w:val="0"/>
        <w:autoSpaceDE w:val="0"/>
        <w:widowControl/>
        <w:spacing w:line="162" w:lineRule="exact" w:before="212" w:after="0"/>
        <w:ind w:left="0" w:right="0" w:firstLine="0"/>
        <w:jc w:val="center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06" w:val="left"/>
        </w:tabs>
        <w:autoSpaceDE w:val="0"/>
        <w:widowControl/>
        <w:spacing w:line="162" w:lineRule="exact" w:before="122" w:after="0"/>
        <w:ind w:left="20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CONFIDENTIALITY</w:t>
      </w:r>
    </w:p>
    <w:p>
      <w:pPr>
        <w:autoSpaceDN w:val="0"/>
        <w:autoSpaceDE w:val="0"/>
        <w:widowControl/>
        <w:spacing w:line="162" w:lineRule="exact" w:before="138" w:after="0"/>
        <w:ind w:left="101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 parties commit themselves to a total confidentiality and to not spread or use directly, through third parties or other companies,</w:t>
      </w:r>
    </w:p>
    <w:p>
      <w:pPr>
        <w:autoSpaceDN w:val="0"/>
        <w:autoSpaceDE w:val="0"/>
        <w:widowControl/>
        <w:spacing w:line="160" w:lineRule="exact" w:before="38" w:after="0"/>
        <w:ind w:left="101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information about the other party to which they have access in the frame of this Agreement.</w:t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PROTECTION AND CONFIDENTIALITY OF DATA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11.1.1.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Confidential Information means any information disclosed by either party in the frame of this Agreement. In consequence,</w:t>
      </w:r>
    </w:p>
    <w:p>
      <w:pPr>
        <w:autoSpaceDN w:val="0"/>
        <w:autoSpaceDE w:val="0"/>
        <w:widowControl/>
        <w:spacing w:line="162" w:lineRule="exact" w:before="38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each party agrees not to use, disclose, publish or disseminate any Confidential Information of the other party for any</w:t>
      </w:r>
    </w:p>
    <w:p>
      <w:pPr>
        <w:autoSpaceDN w:val="0"/>
        <w:autoSpaceDE w:val="0"/>
        <w:widowControl/>
        <w:spacing w:line="162" w:lineRule="exact" w:before="38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purpose except to perform its obligations or exercise its rights under this Agreement, except:</w:t>
      </w:r>
    </w:p>
    <w:p>
      <w:pPr>
        <w:autoSpaceDN w:val="0"/>
        <w:tabs>
          <w:tab w:pos="2684" w:val="left"/>
        </w:tabs>
        <w:autoSpaceDE w:val="0"/>
        <w:widowControl/>
        <w:spacing w:line="162" w:lineRule="exact" w:before="160" w:after="0"/>
        <w:ind w:left="1800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11.1.1.1.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Following prior consent of the other party, or</w:t>
      </w:r>
    </w:p>
    <w:p>
      <w:pPr>
        <w:autoSpaceDN w:val="0"/>
        <w:tabs>
          <w:tab w:pos="2684" w:val="left"/>
        </w:tabs>
        <w:autoSpaceDE w:val="0"/>
        <w:widowControl/>
        <w:spacing w:line="162" w:lineRule="exact" w:before="162" w:after="0"/>
        <w:ind w:left="1800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11.1.1.2.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If the information was in the public domain at the time it was disclosed or becomes in the public domain</w:t>
      </w:r>
    </w:p>
    <w:p>
      <w:pPr>
        <w:autoSpaceDN w:val="0"/>
        <w:autoSpaceDE w:val="0"/>
        <w:widowControl/>
        <w:spacing w:line="162" w:lineRule="exact" w:before="38" w:after="0"/>
        <w:ind w:left="0" w:right="3970" w:firstLine="0"/>
        <w:jc w:val="righ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through no act or omission of the Receiving Party.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11.1.2.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Any of these exceptions will not be presumed in any case, and the revealing party must clear any doubt to this respect.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11.1.3.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Both parties shall take reasonable precautions to preserve in strict confidence any confidential or proprietary information</w:t>
      </w:r>
    </w:p>
    <w:p>
      <w:pPr>
        <w:autoSpaceDN w:val="0"/>
        <w:autoSpaceDE w:val="0"/>
        <w:widowControl/>
        <w:spacing w:line="162" w:lineRule="exact" w:before="36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obtained by them, their agents, employees, subcontractors, suppliers, consultants, and in general, any person that has</w:t>
      </w:r>
    </w:p>
    <w:p>
      <w:pPr>
        <w:autoSpaceDN w:val="0"/>
        <w:autoSpaceDE w:val="0"/>
        <w:widowControl/>
        <w:spacing w:line="162" w:lineRule="exact" w:before="38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access to it.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11.1.4.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Confidential Information includes any technical, economic, financial and/or commercial information, confidential or not,</w:t>
      </w:r>
    </w:p>
    <w:p>
      <w:pPr>
        <w:autoSpaceDN w:val="0"/>
        <w:autoSpaceDE w:val="0"/>
        <w:widowControl/>
        <w:spacing w:line="162" w:lineRule="exact" w:before="38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bearing in any commercial relationship and in general, without any limitation, any information to which any of the parties</w:t>
      </w:r>
    </w:p>
    <w:p>
      <w:pPr>
        <w:autoSpaceDN w:val="0"/>
        <w:autoSpaceDE w:val="0"/>
        <w:widowControl/>
        <w:spacing w:line="162" w:lineRule="exact" w:before="36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has access during the application, in the frame of this Agreement.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11.1.5.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Except as provided hereinafter, for a period of five years after termination or expiration of this Agreement, each party shall</w:t>
      </w:r>
    </w:p>
    <w:p>
      <w:pPr>
        <w:autoSpaceDN w:val="0"/>
        <w:autoSpaceDE w:val="0"/>
        <w:widowControl/>
        <w:spacing w:line="162" w:lineRule="exact" w:before="38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not disclose, publish or disseminate information received from the other party which may be required to carry out this</w:t>
      </w:r>
    </w:p>
    <w:p>
      <w:pPr>
        <w:autoSpaceDN w:val="0"/>
        <w:autoSpaceDE w:val="0"/>
        <w:widowControl/>
        <w:spacing w:line="162" w:lineRule="exact" w:before="36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Agreement and which the disclosing party deems proprietary and confidential.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11.1.6.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Once this Agreement has expired, each party must, depending on the choice of the other party, destroy or hand over all</w:t>
      </w:r>
    </w:p>
    <w:p>
      <w:pPr>
        <w:autoSpaceDN w:val="0"/>
        <w:autoSpaceDE w:val="0"/>
        <w:widowControl/>
        <w:spacing w:line="162" w:lineRule="exact" w:before="38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technical, economic, financial or commercial information, confidential or not, in its possession, directly or indirectly, as</w:t>
      </w:r>
    </w:p>
    <w:p>
      <w:pPr>
        <w:autoSpaceDN w:val="0"/>
        <w:autoSpaceDE w:val="0"/>
        <w:widowControl/>
        <w:spacing w:line="160" w:lineRule="exact" w:before="38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convened in the present Agreement.</w:t>
      </w:r>
    </w:p>
    <w:p>
      <w:pPr>
        <w:autoSpaceDN w:val="0"/>
        <w:autoSpaceDE w:val="0"/>
        <w:widowControl/>
        <w:spacing w:line="162" w:lineRule="exact" w:before="212" w:after="0"/>
        <w:ind w:left="0" w:right="0" w:firstLine="0"/>
        <w:jc w:val="center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2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MANAGEMENT OF ACCESS RIGHTS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11.2.1.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In accordance to Article 10.1, the Customer is in charge of defining the opening, closing or modifying of access to</w:t>
      </w:r>
    </w:p>
    <w:p>
      <w:pPr>
        <w:autoSpaceDN w:val="0"/>
        <w:autoSpaceDE w:val="0"/>
        <w:widowControl/>
        <w:spacing w:line="162" w:lineRule="exact" w:before="38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information. The Customer is also in charge of defining the user accesses, as well as the level of access of its users.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11.2.2.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10.2.2. EIT guarantees the control of access (through an access code and password) to information pursuant to the access</w:t>
      </w:r>
    </w:p>
    <w:p>
      <w:pPr>
        <w:autoSpaceDN w:val="0"/>
        <w:autoSpaceDE w:val="0"/>
        <w:widowControl/>
        <w:spacing w:line="162" w:lineRule="exact" w:before="36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rights defined by the Customer.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11.2.3.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10.2.3. EIT will not be held responsible if a Customer’s user uses an access code and password of a third party.</w:t>
      </w:r>
    </w:p>
    <w:p>
      <w:pPr>
        <w:autoSpaceDN w:val="0"/>
        <w:tabs>
          <w:tab w:pos="406" w:val="left"/>
        </w:tabs>
        <w:autoSpaceDE w:val="0"/>
        <w:widowControl/>
        <w:spacing w:line="162" w:lineRule="exact" w:before="162" w:after="0"/>
        <w:ind w:left="20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SUPERVISION COMMISSION</w:t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 parties commit themselves to constitute a supervision commission formed by persons appointed for that purpose.</w:t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This commission will act as an intermediary between the parties and it will accomplish the following tasks: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12.2.1.1.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Verify the fulfilment, in particular, the evolution and implementation, of all the services and applications. This operation will</w:t>
      </w:r>
    </w:p>
    <w:p>
      <w:pPr>
        <w:autoSpaceDN w:val="0"/>
        <w:autoSpaceDE w:val="0"/>
        <w:widowControl/>
        <w:spacing w:line="162" w:lineRule="exact" w:before="38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be recorded in the corresponding reports, according to the convened periodicity.</w:t>
      </w:r>
    </w:p>
    <w:p>
      <w:pPr>
        <w:autoSpaceDN w:val="0"/>
        <w:tabs>
          <w:tab w:pos="1788" w:val="left"/>
        </w:tabs>
        <w:autoSpaceDE w:val="0"/>
        <w:widowControl/>
        <w:spacing w:line="160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12.2.1.2.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Interpret any Article of this Agreement that might be questioned by the parties.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12.2.1.3.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Resolve any potential conflict that may arise during the execution of this Agreement. For this, the commission members</w:t>
      </w:r>
    </w:p>
    <w:p>
      <w:pPr>
        <w:autoSpaceDN w:val="0"/>
        <w:autoSpaceDE w:val="0"/>
        <w:widowControl/>
        <w:spacing w:line="162" w:lineRule="exact" w:before="38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will act at their best, and assemble all the necessary information.</w:t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12.3.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If the commission members are not able to resolve a conflict or a problem in the interpretation of this Agreement within thirty natural</w:t>
      </w:r>
    </w:p>
    <w:p>
      <w:pPr>
        <w:autoSpaceDN w:val="0"/>
        <w:autoSpaceDE w:val="0"/>
        <w:widowControl/>
        <w:spacing w:line="162" w:lineRule="exact" w:before="38" w:after="0"/>
        <w:ind w:left="992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days, the representatives of the parties will be duly informed in order to find a solution on friendly terms.</w:t>
      </w:r>
    </w:p>
    <w:p>
      <w:pPr>
        <w:autoSpaceDN w:val="0"/>
        <w:autoSpaceDE w:val="0"/>
        <w:widowControl/>
        <w:spacing w:line="162" w:lineRule="exact" w:before="210" w:after="0"/>
        <w:ind w:left="0" w:right="0" w:firstLine="0"/>
        <w:jc w:val="center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06" w:val="left"/>
        </w:tabs>
        <w:autoSpaceDE w:val="0"/>
        <w:widowControl/>
        <w:spacing w:line="162" w:lineRule="exact" w:before="122" w:after="0"/>
        <w:ind w:left="20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DURATION</w:t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 present Agreement is effective as from 1 January 2009. It is established by calendar year and renewed tacitly every year.</w:t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13.2.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 Agreement rests, for all that, cancellable at any time by any of the parties before the expiry date of the Agreement or any of its</w:t>
      </w:r>
    </w:p>
    <w:p>
      <w:pPr>
        <w:autoSpaceDN w:val="0"/>
        <w:autoSpaceDE w:val="0"/>
        <w:widowControl/>
        <w:spacing w:line="162" w:lineRule="exact" w:before="38" w:after="0"/>
        <w:ind w:left="992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renewals, upon three months prior written notice.</w:t>
      </w:r>
    </w:p>
    <w:p>
      <w:pPr>
        <w:autoSpaceDN w:val="0"/>
        <w:tabs>
          <w:tab w:pos="406" w:val="left"/>
        </w:tabs>
        <w:autoSpaceDE w:val="0"/>
        <w:widowControl/>
        <w:spacing w:line="162" w:lineRule="exact" w:before="162" w:after="0"/>
        <w:ind w:left="20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EARLY TERMINATION</w:t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 Customer can cancel, on its own accord, the present Agreement upon certified notice to EIT, in the following cases: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14.1.1.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If there is a repeated interruption, by EIT, of the services convened in this Agreement, for a period of four working days.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0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14.1.2.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Upon the institution, by or against EIT, of insolvency, receivership or bankruptcy proceedings or any other proceedings</w:t>
      </w:r>
    </w:p>
    <w:p>
      <w:pPr>
        <w:autoSpaceDN w:val="0"/>
        <w:autoSpaceDE w:val="0"/>
        <w:widowControl/>
        <w:spacing w:line="162" w:lineRule="exact" w:before="38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for the settlement of its debts.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14.1.3.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Non-performance by EIT of its contractual obligations and warranties, assumed in the present Agreement.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14.1.4.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Absorption or fusion of EIT by other companies. In this case, the Customer can decide if he wants to continue working</w:t>
      </w:r>
    </w:p>
    <w:p>
      <w:pPr>
        <w:autoSpaceDN w:val="0"/>
        <w:autoSpaceDE w:val="0"/>
        <w:widowControl/>
        <w:spacing w:line="160" w:lineRule="exact" w:before="38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with the new company, which will have to continue rendering all the services convened in this Agreement, in the same</w:t>
      </w:r>
    </w:p>
    <w:p>
      <w:pPr>
        <w:autoSpaceDN w:val="0"/>
        <w:autoSpaceDE w:val="0"/>
        <w:widowControl/>
        <w:spacing w:line="162" w:lineRule="exact" w:before="38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conditions.</w:t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14.2.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For simple convenience.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14.2.1.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In case the Customer cancels the Agreement in accordance with Articles 13.1, 13.2, EIT will pay the Customer the amount</w:t>
      </w:r>
    </w:p>
    <w:p>
      <w:pPr>
        <w:autoSpaceDN w:val="0"/>
        <w:autoSpaceDE w:val="0"/>
        <w:widowControl/>
        <w:spacing w:line="162" w:lineRule="exact" w:before="38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of 3.000 €, for the non observance of the Agreement of which it is responsible.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0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14.2.2.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In case of termination of this Agreement by the Customer according to Article 13.5, the Customer will pay EIT the amount</w:t>
      </w:r>
    </w:p>
    <w:p>
      <w:pPr>
        <w:autoSpaceDN w:val="0"/>
        <w:autoSpaceDE w:val="0"/>
        <w:widowControl/>
        <w:spacing w:line="162" w:lineRule="exact" w:before="38" w:after="0"/>
        <w:ind w:left="178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of 3.000 €.</w:t>
      </w:r>
    </w:p>
    <w:p>
      <w:pPr>
        <w:autoSpaceDN w:val="0"/>
        <w:tabs>
          <w:tab w:pos="406" w:val="left"/>
        </w:tabs>
        <w:autoSpaceDE w:val="0"/>
        <w:widowControl/>
        <w:spacing w:line="162" w:lineRule="exact" w:before="162" w:after="0"/>
        <w:ind w:left="20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CONTRACTUAL TRANSITION</w:t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15.1.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In case of expiration or termination of the present Agreement, the Customer and EIT will cooperate, in good faith, to make possible a</w:t>
      </w:r>
    </w:p>
    <w:p>
      <w:pPr>
        <w:autoSpaceDN w:val="0"/>
        <w:autoSpaceDE w:val="0"/>
        <w:widowControl/>
        <w:spacing w:line="160" w:lineRule="exact" w:before="38" w:after="0"/>
        <w:ind w:left="992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transfer, in due form to the Customer or to a third party, chosen by the Customer, for the provision of the services defined in this</w:t>
      </w:r>
    </w:p>
    <w:p>
      <w:pPr>
        <w:autoSpaceDN w:val="0"/>
        <w:autoSpaceDE w:val="0"/>
        <w:widowControl/>
        <w:spacing w:line="162" w:lineRule="exact" w:before="38" w:after="0"/>
        <w:ind w:left="992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Agreement. For that purpose, the parties will develop, with enough time in advance and with the necessary haste, a Transition Plan</w:t>
      </w:r>
    </w:p>
    <w:p>
      <w:pPr>
        <w:autoSpaceDN w:val="0"/>
        <w:autoSpaceDE w:val="0"/>
        <w:widowControl/>
        <w:spacing w:line="162" w:lineRule="exact" w:before="38" w:after="0"/>
        <w:ind w:left="992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where the actions and measures to be taken will be defined.</w:t>
      </w:r>
    </w:p>
    <w:p>
      <w:pPr>
        <w:autoSpaceDN w:val="0"/>
        <w:autoSpaceDE w:val="0"/>
        <w:widowControl/>
        <w:spacing w:line="162" w:lineRule="exact" w:before="212" w:after="0"/>
        <w:ind w:left="0" w:right="0" w:firstLine="0"/>
        <w:jc w:val="center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2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15.2.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EIT will continue to provide the services defined in this Agreement between the date it receives from the Customer a notice of</w:t>
      </w:r>
    </w:p>
    <w:p>
      <w:pPr>
        <w:autoSpaceDN w:val="0"/>
        <w:autoSpaceDE w:val="0"/>
        <w:widowControl/>
        <w:spacing w:line="162" w:lineRule="exact" w:before="38" w:after="0"/>
        <w:ind w:left="992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expiration or termination of this Agreement and the date this expiration or termination becomes effective.</w:t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15.3.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EIT commits to hand over to the Customer, on this date, all the data and its copies, in the frame of the provision of services.</w:t>
      </w:r>
    </w:p>
    <w:p>
      <w:pPr>
        <w:autoSpaceDN w:val="0"/>
        <w:tabs>
          <w:tab w:pos="406" w:val="left"/>
        </w:tabs>
        <w:autoSpaceDE w:val="0"/>
        <w:widowControl/>
        <w:spacing w:line="162" w:lineRule="exact" w:before="162" w:after="0"/>
        <w:ind w:left="20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LITIGATION RULINGS</w:t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16.1.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All the litigations that may arise between the parties during the period of application of the present Agreement, in relation with its</w:t>
      </w:r>
    </w:p>
    <w:p>
      <w:pPr>
        <w:autoSpaceDN w:val="0"/>
        <w:autoSpaceDE w:val="0"/>
        <w:widowControl/>
        <w:spacing w:line="162" w:lineRule="exact" w:before="36" w:after="0"/>
        <w:ind w:left="992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Articles, and that have not been solved in a friendly manner, will be subjected to the rulings of their respective Chief Executives. In</w:t>
      </w:r>
    </w:p>
    <w:p>
      <w:pPr>
        <w:autoSpaceDN w:val="0"/>
        <w:autoSpaceDE w:val="0"/>
        <w:widowControl/>
        <w:spacing w:line="162" w:lineRule="exact" w:before="38" w:after="0"/>
        <w:ind w:left="992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case of persistent disagreement, the litigation will be subjected to the General Management of Group Villar Mir.</w:t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16.2.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However, if any of the parties no longer belongs to Group Villar Mir, any litigation that may not be solved in a friendly manner will be</w:t>
      </w:r>
    </w:p>
    <w:p>
      <w:pPr>
        <w:autoSpaceDN w:val="0"/>
        <w:autoSpaceDE w:val="0"/>
        <w:widowControl/>
        <w:spacing w:line="160" w:lineRule="exact" w:before="38" w:after="0"/>
        <w:ind w:left="992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settled in compliance with the laws of Spain.</w:t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16.3.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Any doubt that arises, in the frame of this Agreement, will be settled through arbitration in equity, in compliance with the Spanish Law</w:t>
      </w:r>
    </w:p>
    <w:p>
      <w:pPr>
        <w:autoSpaceDN w:val="0"/>
        <w:autoSpaceDE w:val="0"/>
        <w:widowControl/>
        <w:spacing w:line="162" w:lineRule="exact" w:before="38" w:after="0"/>
        <w:ind w:left="992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Arbitration, </w:t>
      </w:r>
      <w:r>
        <w:rPr>
          <w:w w:val="101.18680000305176"/>
          <w:rFonts w:ascii="TimesNewRomanPS" w:hAnsi="TimesNewRomanPS" w:eastAsia="TimesNewRomanPS"/>
          <w:b w:val="0"/>
          <w:i/>
          <w:color w:val="000000"/>
          <w:sz w:val="16"/>
        </w:rPr>
        <w:t>Ley 60/2003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, both parties agreeing to obey the decision. For the designation of the arbitrators and the management of</w:t>
      </w:r>
    </w:p>
    <w:p>
      <w:pPr>
        <w:autoSpaceDN w:val="0"/>
        <w:autoSpaceDE w:val="0"/>
        <w:widowControl/>
        <w:spacing w:line="162" w:lineRule="exact" w:before="38" w:after="0"/>
        <w:ind w:left="992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 arbitration, the following rules will apply: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16.3.1.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There will be three arbitrators, solicitors. Each party will designate one, and these two will designate a third one.</w:t>
      </w:r>
    </w:p>
    <w:p>
      <w:pPr>
        <w:autoSpaceDN w:val="0"/>
        <w:tabs>
          <w:tab w:pos="1788" w:val="left"/>
        </w:tabs>
        <w:autoSpaceDE w:val="0"/>
        <w:widowControl/>
        <w:spacing w:line="160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16.3.2.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 place of arbitration will be Madrid.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16.3.3.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It will be governed by the laws of Spain and the language of the process will be Spanish.</w:t>
      </w:r>
    </w:p>
    <w:p>
      <w:pPr>
        <w:autoSpaceDN w:val="0"/>
        <w:tabs>
          <w:tab w:pos="1788" w:val="left"/>
        </w:tabs>
        <w:autoSpaceDE w:val="0"/>
        <w:widowControl/>
        <w:spacing w:line="162" w:lineRule="exact" w:before="162" w:after="0"/>
        <w:ind w:left="1004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16.3.4.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 arbitrators will dictate the decision within three months of the notice of the parties’ acceptance.</w:t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16.4.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 parties, expressly waiving the Jurisdiction that may correspond to the same, submit themselves to the jurisdiction of the Courts</w:t>
      </w:r>
    </w:p>
    <w:p>
      <w:pPr>
        <w:autoSpaceDN w:val="0"/>
        <w:autoSpaceDE w:val="0"/>
        <w:widowControl/>
        <w:spacing w:line="162" w:lineRule="exact" w:before="38" w:after="0"/>
        <w:ind w:left="992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and Tribunals of Madrid for any matter derived from the present Agreement that cannot be subjected to arbitration.</w:t>
      </w:r>
    </w:p>
    <w:p>
      <w:pPr>
        <w:autoSpaceDN w:val="0"/>
        <w:autoSpaceDE w:val="0"/>
        <w:widowControl/>
        <w:spacing w:line="162" w:lineRule="exact" w:before="212" w:after="0"/>
        <w:ind w:left="0" w:right="0" w:firstLine="0"/>
        <w:jc w:val="center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3244850</wp:posOffset>
            </wp:positionV>
            <wp:extent cx="1296670" cy="458578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6670" cy="45857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3530600</wp:posOffset>
            </wp:positionV>
            <wp:extent cx="63500" cy="381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3517900</wp:posOffset>
            </wp:positionV>
            <wp:extent cx="38100" cy="381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3492500</wp:posOffset>
            </wp:positionV>
            <wp:extent cx="38100" cy="508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3441700</wp:posOffset>
            </wp:positionV>
            <wp:extent cx="38100" cy="381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3441700</wp:posOffset>
            </wp:positionV>
            <wp:extent cx="50800" cy="381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1892300</wp:posOffset>
            </wp:positionV>
            <wp:extent cx="50800" cy="381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3972560</wp:posOffset>
            </wp:positionH>
            <wp:positionV relativeFrom="page">
              <wp:posOffset>1733550</wp:posOffset>
            </wp:positionV>
            <wp:extent cx="1390650" cy="1967454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96745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3352800</wp:posOffset>
            </wp:positionV>
            <wp:extent cx="38100" cy="381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3340100</wp:posOffset>
            </wp:positionV>
            <wp:extent cx="38100" cy="381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3327400</wp:posOffset>
            </wp:positionV>
            <wp:extent cx="38100" cy="381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3225800</wp:posOffset>
            </wp:positionV>
            <wp:extent cx="38100" cy="381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4800600</wp:posOffset>
            </wp:positionH>
            <wp:positionV relativeFrom="page">
              <wp:posOffset>2806700</wp:posOffset>
            </wp:positionV>
            <wp:extent cx="38100" cy="381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2552700</wp:posOffset>
            </wp:positionV>
            <wp:extent cx="38100" cy="381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2159000</wp:posOffset>
            </wp:positionV>
            <wp:extent cx="38100" cy="381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4991100</wp:posOffset>
            </wp:positionH>
            <wp:positionV relativeFrom="page">
              <wp:posOffset>2120900</wp:posOffset>
            </wp:positionV>
            <wp:extent cx="38100" cy="381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06" w:val="left"/>
        </w:tabs>
        <w:autoSpaceDE w:val="0"/>
        <w:widowControl/>
        <w:spacing w:line="162" w:lineRule="exact" w:before="122" w:after="0"/>
        <w:ind w:left="20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GOVERNING LAW</w:t>
      </w:r>
    </w:p>
    <w:p>
      <w:pPr>
        <w:autoSpaceDN w:val="0"/>
        <w:tabs>
          <w:tab w:pos="992" w:val="left"/>
        </w:tabs>
        <w:autoSpaceDE w:val="0"/>
        <w:widowControl/>
        <w:spacing w:line="162" w:lineRule="exact" w:before="162" w:after="0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17.1.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This Agreement shall be governed by, and construed in accordance with the laws of Spain.</w:t>
      </w:r>
    </w:p>
    <w:p>
      <w:pPr>
        <w:autoSpaceDN w:val="0"/>
        <w:tabs>
          <w:tab w:pos="406" w:val="left"/>
        </w:tabs>
        <w:autoSpaceDE w:val="0"/>
        <w:widowControl/>
        <w:spacing w:line="162" w:lineRule="exact" w:before="162" w:after="0"/>
        <w:ind w:left="20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the parties acknowledge that each has fully read and understood this Agreement, and, intending to be legally bound</w:t>
      </w:r>
    </w:p>
    <w:p>
      <w:pPr>
        <w:autoSpaceDN w:val="0"/>
        <w:autoSpaceDE w:val="0"/>
        <w:widowControl/>
        <w:spacing w:line="162" w:lineRule="exact" w:before="38" w:after="286"/>
        <w:ind w:left="40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thereby, executed this Agreement on the date first above written.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2" w:lineRule="exact" w:before="0" w:after="0"/>
        <w:ind w:left="20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SLICON SMELTERS PTY LTD</w:t>
      </w:r>
    </w:p>
    <w:p>
      <w:pPr>
        <w:sectPr>
          <w:type w:val="continuous"/>
          <w:pgSz w:w="11900" w:h="16840"/>
          <w:pgMar w:top="450" w:right="940" w:bottom="1440" w:left="980" w:header="720" w:footer="720" w:gutter="0"/>
          <w:cols w:num="2" w:equalWidth="0">
            <w:col w:w="4990" w:space="0"/>
            <w:col w:w="4990" w:space="0"/>
          </w:cols>
          <w:docGrid w:linePitch="360"/>
        </w:sectPr>
      </w:pPr>
    </w:p>
    <w:p>
      <w:pPr>
        <w:autoSpaceDN w:val="0"/>
        <w:autoSpaceDE w:val="0"/>
        <w:widowControl/>
        <w:spacing w:line="162" w:lineRule="exact" w:before="0" w:after="50"/>
        <w:ind w:left="286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ESPACIO INFORMATION TECHNOLOGY, S.A.</w:t>
      </w:r>
    </w:p>
    <w:p>
      <w:pPr>
        <w:sectPr>
          <w:type w:val="nextColumn"/>
          <w:pgSz w:w="11900" w:h="16840"/>
          <w:pgMar w:top="450" w:right="940" w:bottom="1440" w:left="980" w:header="720" w:footer="720" w:gutter="0"/>
          <w:cols w:num="2" w:equalWidth="0">
            <w:col w:w="4990" w:space="0"/>
            <w:col w:w="4990" w:space="0"/>
          </w:cols>
          <w:docGrid w:linePitch="360"/>
        </w:sectPr>
      </w:pPr>
    </w:p>
    <w:p>
      <w:pPr>
        <w:autoSpaceDN w:val="0"/>
        <w:tabs>
          <w:tab w:pos="5276" w:val="left"/>
        </w:tabs>
        <w:autoSpaceDE w:val="0"/>
        <w:widowControl/>
        <w:spacing w:line="162" w:lineRule="exact" w:before="0" w:after="0"/>
        <w:ind w:left="20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Dr B.E.N. Ollivier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Name: Carlos Lafitte Pradal</w:t>
      </w:r>
    </w:p>
    <w:p>
      <w:pPr>
        <w:autoSpaceDN w:val="0"/>
        <w:tabs>
          <w:tab w:pos="542" w:val="left"/>
          <w:tab w:pos="5276" w:val="left"/>
          <w:tab w:pos="5774" w:val="left"/>
        </w:tabs>
        <w:autoSpaceDE w:val="0"/>
        <w:widowControl/>
        <w:spacing w:line="162" w:lineRule="exact" w:before="138" w:after="0"/>
        <w:ind w:left="20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Managing Director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Director General</w:t>
      </w:r>
    </w:p>
    <w:p>
      <w:pPr>
        <w:autoSpaceDN w:val="0"/>
        <w:autoSpaceDE w:val="0"/>
        <w:widowControl/>
        <w:spacing w:line="162" w:lineRule="exact" w:before="212" w:after="0"/>
        <w:ind w:left="0" w:right="0" w:firstLine="0"/>
        <w:jc w:val="center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sectPr>
          <w:type w:val="continuous"/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46" w:lineRule="exact" w:before="0" w:after="0"/>
        <w:ind w:left="20" w:right="864" w:firstLine="0"/>
        <w:jc w:val="left"/>
      </w:pPr>
      <w:r>
        <w:rPr>
          <w:w w:val="101.18680000305176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ANNEX 1: DEFINITIONS </w:t>
      </w:r>
      <w:r>
        <w:br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following definitions apply in the present Agreement: </w:t>
      </w:r>
      <w:r>
        <w:br/>
      </w:r>
      <w:r>
        <w:rPr>
          <w:w w:val="101.18680000305176"/>
          <w:rFonts w:ascii="TimesNewRomanPS" w:hAnsi="TimesNewRomanPS" w:eastAsia="TimesNewRomanPS"/>
          <w:b/>
          <w:i w:val="0"/>
          <w:color w:val="000000"/>
          <w:sz w:val="16"/>
        </w:rPr>
        <w:t>IT Department: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Customer’s work team in charge of the support and maintenance of the Customer’s local infrastructure and applications. </w:t>
      </w:r>
      <w:r>
        <w:rPr>
          <w:w w:val="101.18680000305176"/>
          <w:rFonts w:ascii="TimesNewRomanPS" w:hAnsi="TimesNewRomanPS" w:eastAsia="TimesNewRomanPS"/>
          <w:b/>
          <w:i w:val="0"/>
          <w:color w:val="000000"/>
          <w:sz w:val="16"/>
        </w:rPr>
        <w:t>LAN: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Internal network at the factories that connects the factory’s routers with the workstations and peripheral devices of the site.</w:t>
      </w:r>
    </w:p>
    <w:p>
      <w:pPr>
        <w:autoSpaceDN w:val="0"/>
        <w:autoSpaceDE w:val="0"/>
        <w:widowControl/>
        <w:spacing w:line="398" w:lineRule="exact" w:before="0" w:after="0"/>
        <w:ind w:left="20" w:right="0" w:firstLine="0"/>
        <w:jc w:val="left"/>
      </w:pPr>
      <w:r>
        <w:rPr>
          <w:w w:val="101.18680000305176"/>
          <w:rFonts w:ascii="TimesNewRomanPS" w:hAnsi="TimesNewRomanPS" w:eastAsia="TimesNewRomanPS"/>
          <w:b/>
          <w:i w:val="0"/>
          <w:color w:val="000000"/>
          <w:sz w:val="16"/>
        </w:rPr>
        <w:t>WAN: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External network that connects the Silicon Smelter factories with the central node located in Madrid. Network leaving the router of each factory. </w:t>
      </w:r>
      <w:r>
        <w:rPr>
          <w:w w:val="101.18680000305176"/>
          <w:rFonts w:ascii="TimesNewRomanPS" w:hAnsi="TimesNewRomanPS" w:eastAsia="TimesNewRomanPS"/>
          <w:b/>
          <w:i w:val="0"/>
          <w:color w:val="000000"/>
          <w:sz w:val="16"/>
        </w:rPr>
        <w:t>South African workdays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: Monday to Friday, except for legal holidays of the South African work schedule.</w:t>
      </w:r>
    </w:p>
    <w:p>
      <w:pPr>
        <w:autoSpaceDN w:val="0"/>
        <w:autoSpaceDE w:val="0"/>
        <w:widowControl/>
        <w:spacing w:line="162" w:lineRule="exact" w:before="236" w:after="0"/>
        <w:ind w:left="20" w:right="0" w:firstLine="0"/>
        <w:jc w:val="left"/>
      </w:pPr>
      <w:r>
        <w:rPr>
          <w:w w:val="101.18680000305176"/>
          <w:rFonts w:ascii="TimesNewRomanPS" w:hAnsi="TimesNewRomanPS" w:eastAsia="TimesNewRomanPS"/>
          <w:b/>
          <w:i w:val="0"/>
          <w:color w:val="000000"/>
          <w:sz w:val="16"/>
        </w:rPr>
        <w:t>South African working hours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: 8h00 – 20h00 during South African workdays.</w:t>
      </w:r>
    </w:p>
    <w:p>
      <w:pPr>
        <w:autoSpaceDN w:val="0"/>
        <w:autoSpaceDE w:val="0"/>
        <w:widowControl/>
        <w:spacing w:line="164" w:lineRule="exact" w:before="236" w:after="0"/>
        <w:ind w:left="20" w:right="0" w:firstLine="0"/>
        <w:jc w:val="left"/>
      </w:pPr>
      <w:r>
        <w:rPr>
          <w:w w:val="101.18680000305176"/>
          <w:rFonts w:ascii="TimesNewRomanPS" w:hAnsi="TimesNewRomanPS" w:eastAsia="TimesNewRomanPS"/>
          <w:b/>
          <w:i w:val="0"/>
          <w:color w:val="000000"/>
          <w:sz w:val="16"/>
        </w:rPr>
        <w:t>Local Servers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: Servers listed in Annex 3, which are located in the factories of Silicon Smelters.</w:t>
      </w:r>
    </w:p>
    <w:p>
      <w:pPr>
        <w:autoSpaceDN w:val="0"/>
        <w:autoSpaceDE w:val="0"/>
        <w:widowControl/>
        <w:spacing w:line="162" w:lineRule="exact" w:before="236" w:after="0"/>
        <w:ind w:left="20" w:right="0" w:firstLine="0"/>
        <w:jc w:val="left"/>
      </w:pPr>
      <w:r>
        <w:rPr>
          <w:w w:val="101.18680000305176"/>
          <w:rFonts w:ascii="TimesNewRomanPS" w:hAnsi="TimesNewRomanPS" w:eastAsia="TimesNewRomanPS"/>
          <w:b/>
          <w:i w:val="0"/>
          <w:color w:val="000000"/>
          <w:sz w:val="16"/>
        </w:rPr>
        <w:t>Central Servers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: Servers listed in Annex 3, which are located outside the factories of Silicon Smelters.</w:t>
      </w:r>
    </w:p>
    <w:p>
      <w:pPr>
        <w:autoSpaceDN w:val="0"/>
        <w:autoSpaceDE w:val="0"/>
        <w:widowControl/>
        <w:spacing w:line="200" w:lineRule="exact" w:before="198" w:after="0"/>
        <w:ind w:left="20" w:right="720" w:firstLine="0"/>
        <w:jc w:val="left"/>
      </w:pPr>
      <w:r>
        <w:rPr>
          <w:w w:val="101.18680000305176"/>
          <w:rFonts w:ascii="TimesNewRomanPS" w:hAnsi="TimesNewRomanPS" w:eastAsia="TimesNewRomanPS"/>
          <w:b/>
          <w:i w:val="0"/>
          <w:color w:val="000000"/>
          <w:sz w:val="16"/>
        </w:rPr>
        <w:t>Local Applications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IT applications used by Silicon Smelters and implemented on the local Servers. Silicon Smelters is responsible for these 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applications, which are listed in Annex 4.</w:t>
      </w:r>
    </w:p>
    <w:p>
      <w:pPr>
        <w:autoSpaceDN w:val="0"/>
        <w:autoSpaceDE w:val="0"/>
        <w:widowControl/>
        <w:spacing w:line="162" w:lineRule="exact" w:before="236" w:after="0"/>
        <w:ind w:left="20" w:right="0" w:firstLine="0"/>
        <w:jc w:val="left"/>
      </w:pPr>
      <w:r>
        <w:rPr>
          <w:w w:val="101.18680000305176"/>
          <w:rFonts w:ascii="TimesNewRomanPS" w:hAnsi="TimesNewRomanPS" w:eastAsia="TimesNewRomanPS"/>
          <w:b/>
          <w:i w:val="0"/>
          <w:color w:val="000000"/>
          <w:sz w:val="16"/>
        </w:rPr>
        <w:t>Data: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data or information belonging to the Customer saved on magnetic support or others, and that is subject to computer treatment.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2" w:lineRule="exact" w:before="124" w:after="232"/>
        <w:ind w:left="20" w:right="0" w:firstLine="0"/>
        <w:jc w:val="left"/>
      </w:pPr>
      <w:r>
        <w:rPr>
          <w:w w:val="101.18680000305176"/>
          <w:rFonts w:ascii="TimesNewRomanPS" w:hAnsi="TimesNewRomanPS" w:eastAsia="TimesNewRomanPS"/>
          <w:b/>
          <w:i w:val="0"/>
          <w:color w:val="000000"/>
          <w:sz w:val="16"/>
          <w:u w:val="single"/>
        </w:rPr>
        <w:t>ANNEX 2: SERVICES AND LIABILITIES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426"/>
        <w:gridCol w:w="1426"/>
        <w:gridCol w:w="1426"/>
        <w:gridCol w:w="1426"/>
        <w:gridCol w:w="1426"/>
        <w:gridCol w:w="1426"/>
        <w:gridCol w:w="1426"/>
      </w:tblGrid>
      <w:tr>
        <w:trPr>
          <w:trHeight w:hRule="exact" w:val="216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2" w:after="0"/>
              <w:ind w:left="0" w:right="476" w:firstLine="0"/>
              <w:jc w:val="right"/>
            </w:pPr>
            <w:r>
              <w:rPr>
                <w:w w:val="97.85096985953194"/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Service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2" w:after="0"/>
              <w:ind w:left="0" w:right="188" w:firstLine="0"/>
              <w:jc w:val="right"/>
            </w:pPr>
            <w:r>
              <w:rPr>
                <w:w w:val="97.85096985953194"/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Period</w:t>
            </w:r>
            <w:r>
              <w:rPr>
                <w:w w:val="97.85096985953194"/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 xml:space="preserve">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2" w:after="0"/>
              <w:ind w:left="188" w:right="0" w:firstLine="0"/>
              <w:jc w:val="left"/>
            </w:pPr>
            <w:r>
              <w:rPr>
                <w:w w:val="97.85096985953194"/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Timetable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2" w:after="0"/>
              <w:ind w:left="0" w:right="630" w:firstLine="0"/>
              <w:jc w:val="right"/>
            </w:pPr>
            <w:r>
              <w:rPr>
                <w:w w:val="97.85096985953194"/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Response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2" w:after="0"/>
              <w:ind w:left="0" w:right="174" w:firstLine="0"/>
              <w:jc w:val="right"/>
            </w:pPr>
            <w:r>
              <w:rPr>
                <w:w w:val="97.85096985953194"/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Liability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0" w:firstLine="0"/>
              <w:jc w:val="center"/>
            </w:pPr>
            <w:r>
              <w:rPr>
                <w:w w:val="97.85096985953194"/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Evaluation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2" w:after="0"/>
              <w:ind w:left="0" w:right="0" w:firstLine="0"/>
              <w:jc w:val="center"/>
            </w:pPr>
            <w:r>
              <w:rPr>
                <w:w w:val="97.85096985953194"/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Type of Evaluation</w:t>
            </w:r>
          </w:p>
        </w:tc>
      </w:tr>
    </w:tbl>
    <w:p>
      <w:pPr>
        <w:autoSpaceDN w:val="0"/>
        <w:autoSpaceDE w:val="0"/>
        <w:widowControl/>
        <w:spacing w:line="138" w:lineRule="exact" w:before="6" w:after="202"/>
        <w:ind w:left="0" w:right="2040" w:firstLine="0"/>
        <w:jc w:val="right"/>
      </w:pPr>
      <w:r>
        <w:rPr>
          <w:w w:val="97.85096985953194"/>
          <w:rFonts w:ascii="TimesNewRomanPS" w:hAnsi="TimesNewRomanPS" w:eastAsia="TimesNewRomanPS"/>
          <w:b/>
          <w:i w:val="0"/>
          <w:color w:val="000000"/>
          <w:sz w:val="14"/>
          <w:u w:val="single"/>
        </w:rPr>
        <w:t>Period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rPr>
          <w:trHeight w:hRule="exact" w:val="200"/>
        </w:trPr>
        <w:tc>
          <w:tcPr>
            <w:tcW w:type="dxa" w:w="1700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6" w:after="0"/>
              <w:ind w:left="0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Network Availability</w:t>
            </w:r>
          </w:p>
        </w:tc>
        <w:tc>
          <w:tcPr>
            <w:tcW w:type="dxa" w:w="11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44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Workdays in</w:t>
            </w:r>
          </w:p>
        </w:tc>
        <w:tc>
          <w:tcPr>
            <w:tcW w:type="dxa" w:w="640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6" w:after="0"/>
              <w:ind w:left="0" w:right="0" w:firstLine="0"/>
              <w:jc w:val="center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8H-20H</w:t>
            </w:r>
          </w:p>
        </w:tc>
        <w:tc>
          <w:tcPr>
            <w:tcW w:type="dxa" w:w="25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24" w:after="0"/>
              <w:ind w:left="0" w:right="0" w:firstLine="0"/>
              <w:jc w:val="center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Alert in the 15 minutes following the</w:t>
            </w:r>
          </w:p>
        </w:tc>
        <w:tc>
          <w:tcPr>
            <w:tcW w:type="dxa" w:w="1280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6" w:after="0"/>
              <w:ind w:left="74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98% availability</w:t>
            </w:r>
          </w:p>
        </w:tc>
        <w:tc>
          <w:tcPr>
            <w:tcW w:type="dxa" w:w="700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6" w:after="0"/>
              <w:ind w:left="0" w:right="0" w:firstLine="0"/>
              <w:jc w:val="center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Monthly</w:t>
            </w:r>
          </w:p>
        </w:tc>
        <w:tc>
          <w:tcPr>
            <w:tcW w:type="dxa" w:w="18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center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Measuring periods when</w:t>
            </w:r>
          </w:p>
        </w:tc>
      </w:tr>
      <w:tr>
        <w:trPr>
          <w:trHeight w:hRule="exact" w:val="200"/>
        </w:trPr>
        <w:tc>
          <w:tcPr>
            <w:tcW w:type="dxa" w:w="1247"/>
            <w:vMerge/>
            <w:tcBorders/>
          </w:tcPr>
          <w:p/>
        </w:tc>
        <w:tc>
          <w:tcPr>
            <w:tcW w:type="dxa" w:w="11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44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South African</w:t>
            </w:r>
          </w:p>
        </w:tc>
        <w:tc>
          <w:tcPr>
            <w:tcW w:type="dxa" w:w="1247"/>
            <w:vMerge/>
            <w:tcBorders/>
          </w:tcPr>
          <w:p/>
        </w:tc>
        <w:tc>
          <w:tcPr>
            <w:tcW w:type="dxa" w:w="2494"/>
            <w:gridSpan w:val="2"/>
            <w:vMerge/>
            <w:tcBorders/>
          </w:tcPr>
          <w:p/>
        </w:tc>
        <w:tc>
          <w:tcPr>
            <w:tcW w:type="dxa" w:w="1247"/>
            <w:vMerge/>
            <w:tcBorders/>
          </w:tcPr>
          <w:p/>
        </w:tc>
        <w:tc>
          <w:tcPr>
            <w:tcW w:type="dxa" w:w="1247"/>
            <w:vMerge/>
            <w:tcBorders/>
          </w:tcPr>
          <w:p/>
        </w:tc>
        <w:tc>
          <w:tcPr>
            <w:tcW w:type="dxa" w:w="18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100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network is not</w:t>
            </w:r>
          </w:p>
        </w:tc>
      </w:tr>
      <w:tr>
        <w:trPr>
          <w:trHeight w:hRule="exact" w:val="198"/>
        </w:trPr>
        <w:tc>
          <w:tcPr>
            <w:tcW w:type="dxa" w:w="1247"/>
            <w:vMerge/>
            <w:tcBorders/>
          </w:tcPr>
          <w:p/>
        </w:tc>
        <w:tc>
          <w:tcPr>
            <w:tcW w:type="dxa" w:w="11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center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work schedule </w:t>
            </w:r>
          </w:p>
        </w:tc>
        <w:tc>
          <w:tcPr>
            <w:tcW w:type="dxa" w:w="1247"/>
            <w:vMerge/>
            <w:tcBorders/>
          </w:tcPr>
          <w:p/>
        </w:tc>
        <w:tc>
          <w:tcPr>
            <w:tcW w:type="dxa" w:w="2494"/>
            <w:gridSpan w:val="2"/>
            <w:vMerge/>
            <w:tcBorders/>
          </w:tcPr>
          <w:p/>
        </w:tc>
        <w:tc>
          <w:tcPr>
            <w:tcW w:type="dxa" w:w="1247"/>
            <w:vMerge/>
            <w:tcBorders/>
          </w:tcPr>
          <w:p/>
        </w:tc>
        <w:tc>
          <w:tcPr>
            <w:tcW w:type="dxa" w:w="1247"/>
            <w:vMerge/>
            <w:tcBorders/>
          </w:tcPr>
          <w:p/>
        </w:tc>
        <w:tc>
          <w:tcPr>
            <w:tcW w:type="dxa" w:w="18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100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available</w:t>
            </w:r>
          </w:p>
        </w:tc>
      </w:tr>
      <w:tr>
        <w:trPr>
          <w:trHeight w:hRule="exact" w:val="302"/>
        </w:trPr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26" w:after="0"/>
              <w:ind w:left="0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Fault reports of network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26" w:after="0"/>
              <w:ind w:left="44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Workdays in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24" w:after="0"/>
              <w:ind w:left="0" w:right="0" w:firstLine="0"/>
              <w:jc w:val="center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8H-20H</w:t>
            </w:r>
          </w:p>
        </w:tc>
        <w:tc>
          <w:tcPr>
            <w:tcW w:type="dxa" w:w="2494"/>
            <w:gridSpan w:val="2"/>
            <w:vMerge/>
            <w:tcBorders/>
          </w:tcPr>
          <w:p/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26" w:after="0"/>
              <w:ind w:left="74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98% of faults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24" w:after="0"/>
              <w:ind w:left="0" w:right="0" w:firstLine="0"/>
              <w:jc w:val="center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Monthly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6" w:after="0"/>
              <w:ind w:left="100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Measuring the period</w:t>
            </w:r>
          </w:p>
        </w:tc>
      </w:tr>
      <w:tr>
        <w:trPr>
          <w:trHeight w:hRule="exact" w:val="200"/>
        </w:trPr>
        <w:tc>
          <w:tcPr>
            <w:tcW w:type="dxa" w:w="1247"/>
            <w:vMerge/>
            <w:tcBorders/>
          </w:tcPr>
          <w:p/>
        </w:tc>
        <w:tc>
          <w:tcPr>
            <w:tcW w:type="dxa" w:w="1247"/>
            <w:vMerge/>
            <w:tcBorders/>
          </w:tcPr>
          <w:p/>
        </w:tc>
        <w:tc>
          <w:tcPr>
            <w:tcW w:type="dxa" w:w="1247"/>
            <w:vMerge/>
            <w:tcBorders/>
          </w:tcPr>
          <w:p/>
        </w:tc>
        <w:tc>
          <w:tcPr>
            <w:tcW w:type="dxa" w:w="2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78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fault report as well as an account</w:t>
            </w:r>
          </w:p>
        </w:tc>
        <w:tc>
          <w:tcPr>
            <w:tcW w:type="dxa" w:w="1247"/>
            <w:vMerge/>
            <w:tcBorders/>
          </w:tcPr>
          <w:p/>
        </w:tc>
        <w:tc>
          <w:tcPr>
            <w:tcW w:type="dxa" w:w="1247"/>
            <w:vMerge/>
            <w:tcBorders/>
          </w:tcPr>
          <w:p/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100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between the beginning</w:t>
            </w:r>
          </w:p>
        </w:tc>
      </w:tr>
      <w:tr>
        <w:trPr>
          <w:trHeight w:hRule="exact" w:val="200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0" w:right="0" w:firstLine="0"/>
              <w:jc w:val="center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and server infrastructure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44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South African</w:t>
            </w:r>
          </w:p>
        </w:tc>
        <w:tc>
          <w:tcPr>
            <w:tcW w:type="dxa" w:w="1247"/>
            <w:vMerge/>
            <w:tcBorders/>
          </w:tcPr>
          <w:p/>
        </w:tc>
        <w:tc>
          <w:tcPr>
            <w:tcW w:type="dxa" w:w="2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0" w:right="0" w:firstLine="0"/>
              <w:jc w:val="center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when the problem has been solved.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74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reported in the</w:t>
            </w:r>
          </w:p>
        </w:tc>
        <w:tc>
          <w:tcPr>
            <w:tcW w:type="dxa" w:w="1247"/>
            <w:vMerge/>
            <w:tcBorders/>
          </w:tcPr>
          <w:p/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100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and the end of the</w:t>
            </w:r>
          </w:p>
        </w:tc>
      </w:tr>
      <w:tr>
        <w:trPr>
          <w:trHeight w:hRule="exact" w:val="200"/>
        </w:trPr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0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problems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44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work schedule</w:t>
            </w:r>
          </w:p>
        </w:tc>
        <w:tc>
          <w:tcPr>
            <w:tcW w:type="dxa" w:w="1247"/>
            <w:vMerge/>
            <w:tcBorders/>
          </w:tcPr>
          <w:p/>
        </w:tc>
        <w:tc>
          <w:tcPr>
            <w:tcW w:type="dxa" w:w="2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78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Define what alert, how and who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74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time period</w:t>
            </w:r>
          </w:p>
        </w:tc>
        <w:tc>
          <w:tcPr>
            <w:tcW w:type="dxa" w:w="1247"/>
            <w:vMerge/>
            <w:tcBorders/>
          </w:tcPr>
          <w:p/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100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problem, and fault</w:t>
            </w:r>
          </w:p>
        </w:tc>
      </w:tr>
      <w:tr>
        <w:trPr>
          <w:trHeight w:hRule="exact" w:val="294"/>
        </w:trPr>
        <w:tc>
          <w:tcPr>
            <w:tcW w:type="dxa" w:w="1247"/>
            <w:vMerge/>
            <w:tcBorders/>
          </w:tcPr>
          <w:p/>
        </w:tc>
        <w:tc>
          <w:tcPr>
            <w:tcW w:type="dxa" w:w="1247"/>
            <w:vMerge/>
            <w:tcBorders/>
          </w:tcPr>
          <w:p/>
        </w:tc>
        <w:tc>
          <w:tcPr>
            <w:tcW w:type="dxa" w:w="1247"/>
            <w:vMerge/>
            <w:tcBorders/>
          </w:tcPr>
          <w:p/>
        </w:tc>
        <w:tc>
          <w:tcPr>
            <w:tcW w:type="dxa" w:w="2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78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communicates it.</w:t>
            </w:r>
          </w:p>
        </w:tc>
        <w:tc>
          <w:tcPr>
            <w:tcW w:type="dxa" w:w="1247"/>
            <w:vMerge/>
            <w:tcBorders/>
          </w:tcPr>
          <w:p/>
        </w:tc>
        <w:tc>
          <w:tcPr>
            <w:tcW w:type="dxa" w:w="1247"/>
            <w:vMerge/>
            <w:tcBorders/>
          </w:tcPr>
          <w:p/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100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reporting</w:t>
            </w:r>
          </w:p>
        </w:tc>
      </w:tr>
      <w:tr>
        <w:trPr>
          <w:trHeight w:hRule="exact" w:val="206"/>
        </w:trPr>
        <w:tc>
          <w:tcPr>
            <w:tcW w:type="dxa" w:w="1700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4" w:after="0"/>
              <w:ind w:left="0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Ges-Indus</w:t>
            </w:r>
          </w:p>
        </w:tc>
        <w:tc>
          <w:tcPr>
            <w:tcW w:type="dxa" w:w="11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44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Workdays in</w:t>
            </w:r>
          </w:p>
        </w:tc>
        <w:tc>
          <w:tcPr>
            <w:tcW w:type="dxa" w:w="640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6" w:after="0"/>
              <w:ind w:left="0" w:right="0" w:firstLine="0"/>
              <w:jc w:val="center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8H-20H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20" w:after="0"/>
              <w:ind w:left="0" w:right="0" w:firstLine="0"/>
              <w:jc w:val="center"/>
            </w:pPr>
            <w:r>
              <w:rPr>
                <w:w w:val="101.18680000305176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Ø</w:t>
            </w:r>
          </w:p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24" w:after="0"/>
              <w:ind w:left="0" w:right="0" w:firstLine="0"/>
              <w:jc w:val="center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Response: less than two South</w:t>
            </w:r>
          </w:p>
        </w:tc>
        <w:tc>
          <w:tcPr>
            <w:tcW w:type="dxa" w:w="1280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6" w:after="0"/>
              <w:ind w:left="74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98% availability</w:t>
            </w:r>
          </w:p>
        </w:tc>
        <w:tc>
          <w:tcPr>
            <w:tcW w:type="dxa" w:w="700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6" w:after="0"/>
              <w:ind w:left="0" w:right="0" w:firstLine="0"/>
              <w:jc w:val="center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Monthly</w:t>
            </w:r>
          </w:p>
        </w:tc>
        <w:tc>
          <w:tcPr>
            <w:tcW w:type="dxa" w:w="18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center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Measuring periods when</w:t>
            </w:r>
          </w:p>
        </w:tc>
      </w:tr>
      <w:tr>
        <w:trPr>
          <w:trHeight w:hRule="exact" w:val="80"/>
        </w:trPr>
        <w:tc>
          <w:tcPr>
            <w:tcW w:type="dxa" w:w="1247"/>
            <w:vMerge/>
            <w:tcBorders/>
          </w:tcPr>
          <w:p/>
        </w:tc>
        <w:tc>
          <w:tcPr>
            <w:tcW w:type="dxa" w:w="1180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44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South African</w:t>
            </w:r>
          </w:p>
        </w:tc>
        <w:tc>
          <w:tcPr>
            <w:tcW w:type="dxa" w:w="1247"/>
            <w:vMerge/>
            <w:tcBorders/>
          </w:tcPr>
          <w:p/>
        </w:tc>
        <w:tc>
          <w:tcPr>
            <w:tcW w:type="dxa" w:w="1247"/>
            <w:vMerge/>
            <w:tcBorders/>
          </w:tcPr>
          <w:p/>
        </w:tc>
        <w:tc>
          <w:tcPr>
            <w:tcW w:type="dxa" w:w="1247"/>
            <w:vMerge/>
            <w:tcBorders/>
          </w:tcPr>
          <w:p/>
        </w:tc>
        <w:tc>
          <w:tcPr>
            <w:tcW w:type="dxa" w:w="1247"/>
            <w:vMerge/>
            <w:tcBorders/>
          </w:tcPr>
          <w:p/>
        </w:tc>
        <w:tc>
          <w:tcPr>
            <w:tcW w:type="dxa" w:w="1247"/>
            <w:vMerge/>
            <w:tcBorders/>
          </w:tcPr>
          <w:p/>
        </w:tc>
        <w:tc>
          <w:tcPr>
            <w:tcW w:type="dxa" w:w="1880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100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application is not</w:t>
            </w:r>
          </w:p>
        </w:tc>
      </w:tr>
      <w:tr>
        <w:trPr>
          <w:trHeight w:hRule="exact" w:val="120"/>
        </w:trPr>
        <w:tc>
          <w:tcPr>
            <w:tcW w:type="dxa" w:w="1700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Availability</w:t>
            </w:r>
          </w:p>
        </w:tc>
        <w:tc>
          <w:tcPr>
            <w:tcW w:type="dxa" w:w="1247"/>
            <w:vMerge/>
            <w:tcBorders/>
          </w:tcPr>
          <w:p/>
        </w:tc>
        <w:tc>
          <w:tcPr>
            <w:tcW w:type="dxa" w:w="1247"/>
            <w:vMerge/>
            <w:tcBorders/>
          </w:tcPr>
          <w:p/>
        </w:tc>
        <w:tc>
          <w:tcPr>
            <w:tcW w:type="dxa" w:w="1247"/>
            <w:vMerge/>
            <w:tcBorders/>
          </w:tcPr>
          <w:p/>
        </w:tc>
        <w:tc>
          <w:tcPr>
            <w:tcW w:type="dxa" w:w="1247"/>
            <w:vMerge/>
            <w:tcBorders/>
          </w:tcPr>
          <w:p/>
        </w:tc>
        <w:tc>
          <w:tcPr>
            <w:tcW w:type="dxa" w:w="1247"/>
            <w:vMerge/>
            <w:tcBorders/>
          </w:tcPr>
          <w:p/>
        </w:tc>
        <w:tc>
          <w:tcPr>
            <w:tcW w:type="dxa" w:w="1247"/>
            <w:vMerge/>
            <w:tcBorders/>
          </w:tcPr>
          <w:p/>
        </w:tc>
        <w:tc>
          <w:tcPr>
            <w:tcW w:type="dxa" w:w="1247"/>
            <w:vMerge/>
            <w:tcBorders/>
          </w:tcPr>
          <w:p/>
        </w:tc>
      </w:tr>
      <w:tr>
        <w:trPr>
          <w:trHeight w:hRule="exact" w:val="192"/>
        </w:trPr>
        <w:tc>
          <w:tcPr>
            <w:tcW w:type="dxa" w:w="1247"/>
            <w:vMerge/>
            <w:tcBorders/>
          </w:tcPr>
          <w:p/>
        </w:tc>
        <w:tc>
          <w:tcPr>
            <w:tcW w:type="dxa" w:w="11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" w:after="0"/>
              <w:ind w:left="0" w:right="0" w:firstLine="0"/>
              <w:jc w:val="center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work schedule </w:t>
            </w:r>
          </w:p>
        </w:tc>
        <w:tc>
          <w:tcPr>
            <w:tcW w:type="dxa" w:w="1247"/>
            <w:vMerge/>
            <w:tcBorders/>
          </w:tcPr>
          <w:p/>
        </w:tc>
        <w:tc>
          <w:tcPr>
            <w:tcW w:type="dxa" w:w="1247"/>
            <w:vMerge/>
            <w:tcBorders/>
          </w:tcPr>
          <w:p/>
        </w:tc>
        <w:tc>
          <w:tcPr>
            <w:tcW w:type="dxa" w:w="1247"/>
            <w:vMerge/>
            <w:tcBorders/>
          </w:tcPr>
          <w:p/>
        </w:tc>
        <w:tc>
          <w:tcPr>
            <w:tcW w:type="dxa" w:w="1247"/>
            <w:vMerge/>
            <w:tcBorders/>
          </w:tcPr>
          <w:p/>
        </w:tc>
        <w:tc>
          <w:tcPr>
            <w:tcW w:type="dxa" w:w="1247"/>
            <w:vMerge/>
            <w:tcBorders/>
          </w:tcPr>
          <w:p/>
        </w:tc>
        <w:tc>
          <w:tcPr>
            <w:tcW w:type="dxa" w:w="18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" w:after="0"/>
              <w:ind w:left="100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available</w:t>
            </w:r>
          </w:p>
        </w:tc>
      </w:tr>
      <w:tr>
        <w:trPr>
          <w:trHeight w:hRule="exact" w:val="288"/>
        </w:trPr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6" w:after="0"/>
              <w:ind w:left="0" w:right="0" w:firstLine="0"/>
              <w:jc w:val="center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Ges-Indus Support Level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6" w:after="0"/>
              <w:ind w:left="44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Workdays in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24" w:after="0"/>
              <w:ind w:left="0" w:right="0" w:firstLine="0"/>
              <w:jc w:val="center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8H-20H</w:t>
            </w:r>
          </w:p>
        </w:tc>
        <w:tc>
          <w:tcPr>
            <w:tcW w:type="dxa" w:w="1247"/>
            <w:vMerge/>
            <w:tcBorders/>
          </w:tcPr>
          <w:p/>
        </w:tc>
        <w:tc>
          <w:tcPr>
            <w:tcW w:type="dxa" w:w="1247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6" w:after="0"/>
              <w:ind w:left="0" w:right="0" w:firstLine="0"/>
              <w:jc w:val="center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98% of requests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24" w:after="0"/>
              <w:ind w:left="0" w:right="0" w:firstLine="0"/>
              <w:jc w:val="center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Monthly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6" w:after="0"/>
              <w:ind w:left="0" w:right="0" w:firstLine="0"/>
              <w:jc w:val="center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Measuring response times</w:t>
            </w:r>
          </w:p>
        </w:tc>
      </w:tr>
      <w:tr>
        <w:trPr>
          <w:trHeight w:hRule="exact" w:val="100"/>
        </w:trPr>
        <w:tc>
          <w:tcPr>
            <w:tcW w:type="dxa" w:w="1247"/>
            <w:vMerge/>
            <w:tcBorders/>
          </w:tcPr>
          <w:p/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6" w:after="0"/>
              <w:ind w:left="44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South African</w:t>
            </w:r>
          </w:p>
        </w:tc>
        <w:tc>
          <w:tcPr>
            <w:tcW w:type="dxa" w:w="1247"/>
            <w:vMerge/>
            <w:tcBorders/>
          </w:tcPr>
          <w:p/>
        </w:tc>
        <w:tc>
          <w:tcPr>
            <w:tcW w:type="dxa" w:w="25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6" w:after="0"/>
              <w:ind w:left="328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African working hours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6" w:after="0"/>
              <w:ind w:left="0" w:right="0" w:firstLine="0"/>
              <w:jc w:val="center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solved in the time</w:t>
            </w:r>
          </w:p>
        </w:tc>
        <w:tc>
          <w:tcPr>
            <w:tcW w:type="dxa" w:w="1247"/>
            <w:vMerge/>
            <w:tcBorders/>
          </w:tcPr>
          <w:p/>
        </w:tc>
        <w:tc>
          <w:tcPr>
            <w:tcW w:type="dxa" w:w="1247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6" w:after="0"/>
              <w:ind w:left="0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47"/>
            <w:vMerge/>
            <w:tcBorders/>
          </w:tcPr>
          <w:p/>
        </w:tc>
        <w:tc>
          <w:tcPr>
            <w:tcW w:type="dxa" w:w="1247"/>
            <w:vMerge/>
            <w:tcBorders/>
          </w:tcPr>
          <w:p/>
        </w:tc>
        <w:tc>
          <w:tcPr>
            <w:tcW w:type="dxa" w:w="2494"/>
            <w:gridSpan w:val="2"/>
            <w:vMerge/>
            <w:tcBorders/>
          </w:tcPr>
          <w:p/>
        </w:tc>
        <w:tc>
          <w:tcPr>
            <w:tcW w:type="dxa" w:w="1247"/>
            <w:vMerge/>
            <w:tcBorders/>
          </w:tcPr>
          <w:p/>
        </w:tc>
        <w:tc>
          <w:tcPr>
            <w:tcW w:type="dxa" w:w="1247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6" w:after="0"/>
              <w:ind w:left="100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for each request</w:t>
            </w:r>
          </w:p>
        </w:tc>
      </w:tr>
      <w:tr>
        <w:trPr>
          <w:trHeight w:hRule="exact" w:val="308"/>
        </w:trPr>
        <w:tc>
          <w:tcPr>
            <w:tcW w:type="dxa" w:w="1247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6" w:after="0"/>
              <w:ind w:left="0" w:right="0" w:firstLine="0"/>
              <w:jc w:val="center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work schedule </w:t>
            </w:r>
          </w:p>
        </w:tc>
        <w:tc>
          <w:tcPr>
            <w:tcW w:type="dxa" w:w="1247"/>
            <w:vMerge/>
            <w:tcBorders/>
          </w:tcPr>
          <w:p/>
        </w:tc>
        <w:tc>
          <w:tcPr>
            <w:tcW w:type="dxa" w:w="2494"/>
            <w:gridSpan w:val="2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6" w:after="0"/>
              <w:ind w:left="74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period</w:t>
            </w:r>
          </w:p>
        </w:tc>
        <w:tc>
          <w:tcPr>
            <w:tcW w:type="dxa" w:w="1247"/>
            <w:vMerge/>
            <w:tcBorders/>
          </w:tcPr>
          <w:p/>
        </w:tc>
        <w:tc>
          <w:tcPr>
            <w:tcW w:type="dxa" w:w="124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4990"/>
        <w:gridCol w:w="4990"/>
      </w:tblGrid>
      <w:tr>
        <w:trPr>
          <w:trHeight w:hRule="exact" w:val="200"/>
        </w:trPr>
        <w:tc>
          <w:tcPr>
            <w:tcW w:type="dxa" w:w="9900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2" w:after="0"/>
              <w:ind w:left="0" w:right="5118" w:firstLine="0"/>
              <w:jc w:val="right"/>
            </w:pPr>
            <w:r>
              <w:rPr>
                <w:w w:val="101.18680000305176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Ø</w:t>
            </w: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Blocking Bug:</w:t>
            </w:r>
          </w:p>
        </w:tc>
      </w:tr>
      <w:tr>
        <w:trPr>
          <w:trHeight w:hRule="exact" w:val="308"/>
        </w:trPr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6" w:after="0"/>
              <w:ind w:left="0" w:right="54" w:firstLine="0"/>
              <w:jc w:val="righ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6" w:after="0"/>
              <w:ind w:left="72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Consideration and response:</w:t>
            </w:r>
          </w:p>
        </w:tc>
      </w:tr>
    </w:tbl>
    <w:p>
      <w:pPr>
        <w:autoSpaceDN w:val="0"/>
        <w:autoSpaceDE w:val="0"/>
        <w:widowControl/>
        <w:spacing w:line="188" w:lineRule="exact" w:before="0" w:after="0"/>
        <w:ind w:left="4092" w:right="4032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less than two South African </w:t>
      </w:r>
      <w:r>
        <w:br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working hours</w:t>
      </w:r>
    </w:p>
    <w:p>
      <w:pPr>
        <w:autoSpaceDN w:val="0"/>
        <w:tabs>
          <w:tab w:pos="4092" w:val="left"/>
        </w:tabs>
        <w:autoSpaceDE w:val="0"/>
        <w:widowControl/>
        <w:spacing w:line="200" w:lineRule="exact" w:before="136" w:after="18"/>
        <w:ind w:left="3868" w:right="3888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Solution or work-around: less </w:t>
      </w:r>
      <w:r>
        <w:br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than one South African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09"/>
        <w:gridCol w:w="1109"/>
        <w:gridCol w:w="1109"/>
        <w:gridCol w:w="1109"/>
        <w:gridCol w:w="1109"/>
        <w:gridCol w:w="1109"/>
        <w:gridCol w:w="1109"/>
        <w:gridCol w:w="1109"/>
        <w:gridCol w:w="1109"/>
      </w:tblGrid>
      <w:tr>
        <w:trPr>
          <w:trHeight w:hRule="exact" w:val="192"/>
        </w:trPr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4" w:after="0"/>
              <w:ind w:left="20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Ges-Indus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6" w:after="0"/>
              <w:ind w:left="0" w:right="230" w:firstLine="0"/>
              <w:jc w:val="righ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Workdays in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56" w:after="0"/>
              <w:ind w:left="144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8H-20H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52" w:after="0"/>
              <w:ind w:left="0" w:right="0" w:firstLine="0"/>
              <w:jc w:val="center"/>
            </w:pPr>
            <w:r>
              <w:rPr>
                <w:w w:val="101.18680000305176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Ø</w:t>
            </w:r>
          </w:p>
        </w:tc>
        <w:tc>
          <w:tcPr>
            <w:tcW w:type="dxa" w:w="2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292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workday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6" w:after="0"/>
              <w:ind w:left="0" w:right="0" w:firstLine="0"/>
              <w:jc w:val="center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98% of requests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56" w:after="0"/>
              <w:ind w:left="0" w:right="0" w:firstLine="0"/>
              <w:jc w:val="center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Monthly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6" w:after="0"/>
              <w:ind w:left="0" w:right="0" w:firstLine="0"/>
              <w:jc w:val="center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Measuring the response</w:t>
            </w:r>
          </w:p>
        </w:tc>
      </w:tr>
      <w:tr>
        <w:trPr>
          <w:trHeight w:hRule="exact" w:val="44"/>
        </w:trPr>
        <w:tc>
          <w:tcPr>
            <w:tcW w:type="dxa" w:w="1109"/>
            <w:vMerge/>
            <w:tcBorders/>
          </w:tcPr>
          <w:p/>
        </w:tc>
        <w:tc>
          <w:tcPr>
            <w:tcW w:type="dxa" w:w="1109"/>
            <w:vMerge/>
            <w:tcBorders/>
          </w:tcPr>
          <w:p/>
        </w:tc>
        <w:tc>
          <w:tcPr>
            <w:tcW w:type="dxa" w:w="1109"/>
            <w:vMerge/>
            <w:tcBorders/>
          </w:tcPr>
          <w:p/>
        </w:tc>
        <w:tc>
          <w:tcPr>
            <w:tcW w:type="dxa" w:w="1109"/>
            <w:vMerge/>
            <w:tcBorders/>
          </w:tcPr>
          <w:p/>
        </w:tc>
        <w:tc>
          <w:tcPr>
            <w:tcW w:type="dxa" w:w="2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64" w:after="0"/>
              <w:ind w:left="68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Non-blocking Bug:</w:t>
            </w:r>
          </w:p>
        </w:tc>
        <w:tc>
          <w:tcPr>
            <w:tcW w:type="dxa" w:w="1109"/>
            <w:vMerge/>
            <w:tcBorders/>
          </w:tcPr>
          <w:p/>
        </w:tc>
        <w:tc>
          <w:tcPr>
            <w:tcW w:type="dxa" w:w="1109"/>
            <w:vMerge/>
            <w:tcBorders/>
          </w:tcPr>
          <w:p/>
        </w:tc>
        <w:tc>
          <w:tcPr>
            <w:tcW w:type="dxa" w:w="1109"/>
            <w:vMerge/>
            <w:tcBorders/>
          </w:tcPr>
          <w:p/>
        </w:tc>
      </w:tr>
      <w:tr>
        <w:trPr>
          <w:trHeight w:hRule="exact" w:val="88"/>
        </w:trPr>
        <w:tc>
          <w:tcPr>
            <w:tcW w:type="dxa" w:w="1109"/>
            <w:vMerge/>
            <w:tcBorders/>
          </w:tcPr>
          <w:p/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0" w:right="142" w:firstLine="0"/>
              <w:jc w:val="righ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South African</w:t>
            </w:r>
          </w:p>
        </w:tc>
        <w:tc>
          <w:tcPr>
            <w:tcW w:type="dxa" w:w="1109"/>
            <w:vMerge/>
            <w:tcBorders/>
          </w:tcPr>
          <w:p/>
        </w:tc>
        <w:tc>
          <w:tcPr>
            <w:tcW w:type="dxa" w:w="1109"/>
            <w:vMerge/>
            <w:tcBorders/>
          </w:tcPr>
          <w:p/>
        </w:tc>
        <w:tc>
          <w:tcPr>
            <w:tcW w:type="dxa" w:w="2218"/>
            <w:gridSpan w:val="2"/>
            <w:vMerge/>
            <w:tcBorders/>
          </w:tcPr>
          <w:p/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0" w:right="0" w:firstLine="0"/>
              <w:jc w:val="center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solved in the time</w:t>
            </w:r>
          </w:p>
        </w:tc>
        <w:tc>
          <w:tcPr>
            <w:tcW w:type="dxa" w:w="1109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100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times for encountered</w:t>
            </w:r>
          </w:p>
        </w:tc>
      </w:tr>
      <w:tr>
        <w:trPr>
          <w:trHeight w:hRule="exact" w:val="108"/>
        </w:trPr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" w:after="0"/>
              <w:ind w:left="20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Maintenance</w:t>
            </w:r>
          </w:p>
        </w:tc>
        <w:tc>
          <w:tcPr>
            <w:tcW w:type="dxa" w:w="1109"/>
            <w:vMerge/>
            <w:tcBorders/>
          </w:tcPr>
          <w:p/>
        </w:tc>
        <w:tc>
          <w:tcPr>
            <w:tcW w:type="dxa" w:w="1109"/>
            <w:vMerge/>
            <w:tcBorders/>
          </w:tcPr>
          <w:p/>
        </w:tc>
        <w:tc>
          <w:tcPr>
            <w:tcW w:type="dxa" w:w="1109"/>
            <w:vMerge/>
            <w:tcBorders/>
          </w:tcPr>
          <w:p/>
        </w:tc>
        <w:tc>
          <w:tcPr>
            <w:tcW w:type="dxa" w:w="2218"/>
            <w:gridSpan w:val="2"/>
            <w:vMerge/>
            <w:tcBorders/>
          </w:tcPr>
          <w:p/>
        </w:tc>
        <w:tc>
          <w:tcPr>
            <w:tcW w:type="dxa" w:w="1109"/>
            <w:vMerge/>
            <w:tcBorders/>
          </w:tcPr>
          <w:p/>
        </w:tc>
        <w:tc>
          <w:tcPr>
            <w:tcW w:type="dxa" w:w="1109"/>
            <w:vMerge/>
            <w:tcBorders/>
          </w:tcPr>
          <w:p/>
        </w:tc>
        <w:tc>
          <w:tcPr>
            <w:tcW w:type="dxa" w:w="1109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109"/>
            <w:vMerge/>
            <w:tcBorders/>
          </w:tcPr>
          <w:p/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0" w:right="118" w:firstLine="0"/>
              <w:jc w:val="righ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work schedule</w:t>
            </w:r>
          </w:p>
        </w:tc>
        <w:tc>
          <w:tcPr>
            <w:tcW w:type="dxa" w:w="1109"/>
            <w:vMerge/>
            <w:tcBorders/>
          </w:tcPr>
          <w:p/>
        </w:tc>
        <w:tc>
          <w:tcPr>
            <w:tcW w:type="dxa" w:w="1109"/>
            <w:vMerge/>
            <w:tcBorders/>
          </w:tcPr>
          <w:p/>
        </w:tc>
        <w:tc>
          <w:tcPr>
            <w:tcW w:type="dxa" w:w="2218"/>
            <w:gridSpan w:val="2"/>
            <w:vMerge/>
            <w:tcBorders/>
          </w:tcPr>
          <w:p/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74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period</w:t>
            </w:r>
          </w:p>
        </w:tc>
        <w:tc>
          <w:tcPr>
            <w:tcW w:type="dxa" w:w="1109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100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problems</w:t>
            </w:r>
          </w:p>
        </w:tc>
      </w:tr>
      <w:tr>
        <w:trPr>
          <w:trHeight w:hRule="exact" w:val="280"/>
        </w:trPr>
        <w:tc>
          <w:tcPr>
            <w:tcW w:type="dxa" w:w="1109"/>
            <w:vMerge/>
            <w:tcBorders/>
          </w:tcPr>
          <w:p/>
        </w:tc>
        <w:tc>
          <w:tcPr>
            <w:tcW w:type="dxa" w:w="1109"/>
            <w:vMerge/>
            <w:tcBorders/>
          </w:tcPr>
          <w:p/>
        </w:tc>
        <w:tc>
          <w:tcPr>
            <w:tcW w:type="dxa" w:w="1109"/>
            <w:vMerge/>
            <w:tcBorders/>
          </w:tcPr>
          <w:p/>
        </w:tc>
        <w:tc>
          <w:tcPr>
            <w:tcW w:type="dxa" w:w="1109"/>
            <w:vMerge/>
            <w:tcBorders/>
          </w:tcPr>
          <w:p/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0" w:after="0"/>
              <w:ind w:left="0" w:right="0" w:firstLine="0"/>
              <w:jc w:val="center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0" w:after="0"/>
              <w:ind w:left="0" w:right="0" w:firstLine="0"/>
              <w:jc w:val="center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Consideration and response:</w:t>
            </w:r>
          </w:p>
        </w:tc>
        <w:tc>
          <w:tcPr>
            <w:tcW w:type="dxa" w:w="1109"/>
            <w:vMerge/>
            <w:tcBorders/>
          </w:tcPr>
          <w:p/>
        </w:tc>
        <w:tc>
          <w:tcPr>
            <w:tcW w:type="dxa" w:w="1109"/>
            <w:vMerge/>
            <w:tcBorders/>
          </w:tcPr>
          <w:p/>
        </w:tc>
        <w:tc>
          <w:tcPr>
            <w:tcW w:type="dxa" w:w="11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0" w:lineRule="exact" w:before="0" w:after="0"/>
        <w:ind w:left="4092" w:right="3888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less than three South African </w:t>
      </w:r>
      <w:r>
        <w:br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workdays</w:t>
      </w:r>
    </w:p>
    <w:p>
      <w:pPr>
        <w:autoSpaceDN w:val="0"/>
        <w:tabs>
          <w:tab w:pos="4092" w:val="left"/>
        </w:tabs>
        <w:autoSpaceDE w:val="0"/>
        <w:widowControl/>
        <w:spacing w:line="200" w:lineRule="exact" w:before="136" w:after="110"/>
        <w:ind w:left="3868" w:right="3888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Solution or work-around: set </w:t>
      </w:r>
      <w:r>
        <w:br/>
      </w: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out by the requestor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996"/>
        <w:gridCol w:w="1996"/>
        <w:gridCol w:w="1996"/>
        <w:gridCol w:w="1996"/>
        <w:gridCol w:w="1996"/>
      </w:tblGrid>
      <w:tr>
        <w:trPr>
          <w:trHeight w:hRule="exact" w:val="194"/>
        </w:trPr>
        <w:tc>
          <w:tcPr>
            <w:tcW w:type="dxa" w:w="1800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6" w:after="0"/>
              <w:ind w:left="0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Electronic Mail Service</w:t>
            </w:r>
          </w:p>
        </w:tc>
        <w:tc>
          <w:tcPr>
            <w:tcW w:type="dxa" w:w="900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6" w:after="0"/>
              <w:ind w:left="0" w:right="222" w:firstLine="0"/>
              <w:jc w:val="righ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7d/7d</w:t>
            </w:r>
          </w:p>
        </w:tc>
        <w:tc>
          <w:tcPr>
            <w:tcW w:type="dxa" w:w="2120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6" w:after="0"/>
              <w:ind w:left="252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24h/24h</w:t>
            </w:r>
          </w:p>
        </w:tc>
        <w:tc>
          <w:tcPr>
            <w:tcW w:type="dxa" w:w="2820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6" w:after="0"/>
              <w:ind w:left="0" w:right="480" w:firstLine="0"/>
              <w:jc w:val="righ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99% availability</w:t>
            </w:r>
          </w:p>
        </w:tc>
        <w:tc>
          <w:tcPr>
            <w:tcW w:type="dxa" w:w="22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480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Measuring periods when</w:t>
            </w:r>
          </w:p>
        </w:tc>
      </w:tr>
      <w:tr>
        <w:trPr>
          <w:trHeight w:hRule="exact" w:val="100"/>
        </w:trPr>
        <w:tc>
          <w:tcPr>
            <w:tcW w:type="dxa" w:w="1996"/>
            <w:vMerge/>
            <w:tcBorders/>
          </w:tcPr>
          <w:p/>
        </w:tc>
        <w:tc>
          <w:tcPr>
            <w:tcW w:type="dxa" w:w="1996"/>
            <w:vMerge/>
            <w:tcBorders/>
          </w:tcPr>
          <w:p/>
        </w:tc>
        <w:tc>
          <w:tcPr>
            <w:tcW w:type="dxa" w:w="1996"/>
            <w:vMerge/>
            <w:tcBorders/>
          </w:tcPr>
          <w:p/>
        </w:tc>
        <w:tc>
          <w:tcPr>
            <w:tcW w:type="dxa" w:w="1996"/>
            <w:vMerge/>
            <w:tcBorders/>
          </w:tcPr>
          <w:p/>
        </w:tc>
        <w:tc>
          <w:tcPr>
            <w:tcW w:type="dxa" w:w="2260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2" w:after="0"/>
              <w:ind w:left="480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electronic mail service</w:t>
            </w:r>
          </w:p>
        </w:tc>
      </w:tr>
      <w:tr>
        <w:trPr>
          <w:trHeight w:hRule="exact" w:val="100"/>
        </w:trPr>
        <w:tc>
          <w:tcPr>
            <w:tcW w:type="dxa" w:w="1800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2" w:after="0"/>
              <w:ind w:left="0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Availability</w:t>
            </w:r>
          </w:p>
        </w:tc>
        <w:tc>
          <w:tcPr>
            <w:tcW w:type="dxa" w:w="1996"/>
            <w:vMerge/>
            <w:tcBorders/>
          </w:tcPr>
          <w:p/>
        </w:tc>
        <w:tc>
          <w:tcPr>
            <w:tcW w:type="dxa" w:w="1996"/>
            <w:vMerge/>
            <w:tcBorders/>
          </w:tcPr>
          <w:p/>
        </w:tc>
        <w:tc>
          <w:tcPr>
            <w:tcW w:type="dxa" w:w="1996"/>
            <w:vMerge/>
            <w:tcBorders/>
          </w:tcPr>
          <w:p/>
        </w:tc>
        <w:tc>
          <w:tcPr>
            <w:tcW w:type="dxa" w:w="1996"/>
            <w:vMerge/>
            <w:tcBorders/>
          </w:tcPr>
          <w:p/>
        </w:tc>
      </w:tr>
      <w:tr>
        <w:trPr>
          <w:trHeight w:hRule="exact" w:val="204"/>
        </w:trPr>
        <w:tc>
          <w:tcPr>
            <w:tcW w:type="dxa" w:w="1996"/>
            <w:vMerge/>
            <w:tcBorders/>
          </w:tcPr>
          <w:p/>
        </w:tc>
        <w:tc>
          <w:tcPr>
            <w:tcW w:type="dxa" w:w="1996"/>
            <w:vMerge/>
            <w:tcBorders/>
          </w:tcPr>
          <w:p/>
        </w:tc>
        <w:tc>
          <w:tcPr>
            <w:tcW w:type="dxa" w:w="1996"/>
            <w:vMerge/>
            <w:tcBorders/>
          </w:tcPr>
          <w:p/>
        </w:tc>
        <w:tc>
          <w:tcPr>
            <w:tcW w:type="dxa" w:w="1996"/>
            <w:vMerge/>
            <w:tcBorders/>
          </w:tcPr>
          <w:p/>
        </w:tc>
        <w:tc>
          <w:tcPr>
            <w:tcW w:type="dxa" w:w="22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480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is not available</w:t>
            </w:r>
          </w:p>
        </w:tc>
      </w:tr>
      <w:tr>
        <w:trPr>
          <w:trHeight w:hRule="exact" w:val="296"/>
        </w:trPr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6" w:after="0"/>
              <w:ind w:left="0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OFINET Availability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6" w:after="0"/>
              <w:ind w:left="0" w:right="222" w:firstLine="0"/>
              <w:jc w:val="righ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7d/7d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6" w:after="0"/>
              <w:ind w:left="252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24h/24h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6" w:after="0"/>
              <w:ind w:left="0" w:right="480" w:firstLine="0"/>
              <w:jc w:val="righ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95% availability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6" w:after="0"/>
              <w:ind w:left="480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Measuring periods when</w:t>
            </w:r>
          </w:p>
        </w:tc>
      </w:tr>
      <w:tr>
        <w:trPr>
          <w:trHeight w:hRule="exact" w:val="172"/>
        </w:trPr>
        <w:tc>
          <w:tcPr>
            <w:tcW w:type="dxa" w:w="1996"/>
            <w:vMerge/>
            <w:tcBorders/>
          </w:tcPr>
          <w:p/>
        </w:tc>
        <w:tc>
          <w:tcPr>
            <w:tcW w:type="dxa" w:w="1996"/>
            <w:vMerge/>
            <w:tcBorders/>
          </w:tcPr>
          <w:p/>
        </w:tc>
        <w:tc>
          <w:tcPr>
            <w:tcW w:type="dxa" w:w="1996"/>
            <w:vMerge/>
            <w:tcBorders/>
          </w:tcPr>
          <w:p/>
        </w:tc>
        <w:tc>
          <w:tcPr>
            <w:tcW w:type="dxa" w:w="1996"/>
            <w:vMerge/>
            <w:tcBorders/>
          </w:tcPr>
          <w:p/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0" w:after="0"/>
              <w:ind w:left="480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OFINET is not available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2" w:lineRule="exact" w:before="124" w:after="232"/>
        <w:ind w:left="20" w:right="0" w:firstLine="0"/>
        <w:jc w:val="left"/>
      </w:pPr>
      <w:r>
        <w:rPr>
          <w:w w:val="101.18680000305176"/>
          <w:rFonts w:ascii="TimesNewRomanPS" w:hAnsi="TimesNewRomanPS" w:eastAsia="TimesNewRomanPS"/>
          <w:b/>
          <w:i w:val="0"/>
          <w:color w:val="000000"/>
          <w:sz w:val="16"/>
          <w:u w:val="single"/>
        </w:rPr>
        <w:t>ANNEX 3: INVENTORY OF SERVERS USED BY SILICON SMELTERS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007"/>
        <w:gridCol w:w="2007"/>
        <w:gridCol w:w="2007"/>
        <w:gridCol w:w="2007"/>
        <w:gridCol w:w="2007"/>
      </w:tblGrid>
      <w:tr>
        <w:trPr>
          <w:trHeight w:hRule="exact" w:val="202"/>
        </w:trPr>
        <w:tc>
          <w:tcPr>
            <w:tcW w:type="dxa" w:w="1480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4" w:after="0"/>
              <w:ind w:left="0" w:right="0" w:firstLine="0"/>
              <w:jc w:val="left"/>
            </w:pPr>
            <w:r>
              <w:rPr>
                <w:w w:val="97.85096985953194"/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Name of Servers</w:t>
            </w:r>
          </w:p>
        </w:tc>
        <w:tc>
          <w:tcPr>
            <w:tcW w:type="dxa" w:w="4960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4" w:after="0"/>
              <w:ind w:left="438" w:right="0" w:firstLine="0"/>
              <w:jc w:val="left"/>
            </w:pPr>
            <w:r>
              <w:rPr>
                <w:w w:val="97.85096985953194"/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Functionality</w:t>
            </w:r>
          </w:p>
        </w:tc>
        <w:tc>
          <w:tcPr>
            <w:tcW w:type="dxa" w:w="1070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4" w:after="0"/>
              <w:ind w:left="0" w:right="0" w:firstLine="0"/>
              <w:jc w:val="center"/>
            </w:pPr>
            <w:r>
              <w:rPr>
                <w:w w:val="97.85096985953194"/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Priority</w:t>
            </w:r>
          </w:p>
        </w:tc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0" w:firstLine="0"/>
              <w:jc w:val="left"/>
            </w:pPr>
            <w:r>
              <w:rPr>
                <w:w w:val="97.85096985953194"/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Local or Central</w:t>
            </w:r>
          </w:p>
        </w:tc>
        <w:tc>
          <w:tcPr>
            <w:tcW w:type="dxa" w:w="1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0" w:firstLine="0"/>
              <w:jc w:val="center"/>
            </w:pPr>
            <w:r>
              <w:rPr>
                <w:w w:val="97.85096985953194"/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Server Managemen</w:t>
            </w:r>
          </w:p>
        </w:tc>
      </w:tr>
      <w:tr>
        <w:trPr>
          <w:trHeight w:hRule="exact" w:val="156"/>
        </w:trPr>
        <w:tc>
          <w:tcPr>
            <w:tcW w:type="dxa" w:w="2007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2007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2007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23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260" w:right="0" w:firstLine="0"/>
              <w:jc w:val="left"/>
            </w:pPr>
            <w:r>
              <w:rPr>
                <w:w w:val="97.85096985953194"/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Server</w:t>
            </w:r>
          </w:p>
        </w:tc>
        <w:tc>
          <w:tcPr>
            <w:tcW w:type="dxa" w:w="125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112" w:right="0" w:firstLine="0"/>
              <w:jc w:val="left"/>
            </w:pPr>
            <w:r>
              <w:rPr>
                <w:w w:val="97.85096985953194"/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Responsibility</w:t>
            </w:r>
          </w:p>
        </w:tc>
      </w:tr>
      <w:tr>
        <w:trPr>
          <w:trHeight w:hRule="exact" w:val="204"/>
        </w:trPr>
        <w:tc>
          <w:tcPr>
            <w:tcW w:type="dxa" w:w="1480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ERP Ges-indus</w:t>
            </w:r>
          </w:p>
        </w:tc>
        <w:tc>
          <w:tcPr>
            <w:tcW w:type="dxa" w:w="4960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438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Management of commercial and financial flow</w:t>
            </w:r>
          </w:p>
        </w:tc>
        <w:tc>
          <w:tcPr>
            <w:tcW w:type="dxa" w:w="1070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center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High </w:t>
            </w:r>
          </w:p>
        </w:tc>
        <w:tc>
          <w:tcPr>
            <w:tcW w:type="dxa" w:w="1232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236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Central</w:t>
            </w:r>
          </w:p>
        </w:tc>
        <w:tc>
          <w:tcPr>
            <w:tcW w:type="dxa" w:w="1258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560" w:firstLine="0"/>
              <w:jc w:val="righ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EIT</w:t>
            </w:r>
          </w:p>
        </w:tc>
      </w:tr>
      <w:tr>
        <w:trPr>
          <w:trHeight w:hRule="exact" w:val="200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SMTP.EIT.ES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438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Transmission of electronic mail</w:t>
            </w:r>
          </w:p>
        </w:tc>
        <w:tc>
          <w:tcPr>
            <w:tcW w:type="dxa" w:w="10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center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High </w:t>
            </w:r>
          </w:p>
        </w:tc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236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Central</w:t>
            </w:r>
          </w:p>
        </w:tc>
        <w:tc>
          <w:tcPr>
            <w:tcW w:type="dxa" w:w="1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560" w:firstLine="0"/>
              <w:jc w:val="righ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EIT</w:t>
            </w:r>
          </w:p>
        </w:tc>
      </w:tr>
      <w:tr>
        <w:trPr>
          <w:trHeight w:hRule="exact" w:val="200"/>
        </w:trPr>
        <w:tc>
          <w:tcPr>
            <w:tcW w:type="dxa" w:w="1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POP.EIT.ES</w:t>
            </w:r>
          </w:p>
        </w:tc>
        <w:tc>
          <w:tcPr>
            <w:tcW w:type="dxa" w:w="49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438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Delivery of electronic mail</w:t>
            </w:r>
          </w:p>
        </w:tc>
        <w:tc>
          <w:tcPr>
            <w:tcW w:type="dxa" w:w="10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center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High </w:t>
            </w:r>
          </w:p>
        </w:tc>
        <w:tc>
          <w:tcPr>
            <w:tcW w:type="dxa" w:w="123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236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Central</w:t>
            </w:r>
          </w:p>
        </w:tc>
        <w:tc>
          <w:tcPr>
            <w:tcW w:type="dxa" w:w="125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560" w:firstLine="0"/>
              <w:jc w:val="righ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EIT</w:t>
            </w:r>
          </w:p>
        </w:tc>
      </w:tr>
      <w:tr>
        <w:trPr>
          <w:trHeight w:hRule="exact" w:val="206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OFINET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438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WEB application, access to electronic mail service and sharing of</w:t>
            </w:r>
          </w:p>
        </w:tc>
        <w:tc>
          <w:tcPr>
            <w:tcW w:type="dxa" w:w="10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center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Medium</w:t>
            </w:r>
          </w:p>
        </w:tc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236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Central</w:t>
            </w:r>
          </w:p>
        </w:tc>
        <w:tc>
          <w:tcPr>
            <w:tcW w:type="dxa" w:w="1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560" w:firstLine="0"/>
              <w:jc w:val="righ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EIT</w:t>
            </w:r>
          </w:p>
        </w:tc>
      </w:tr>
    </w:tbl>
    <w:p>
      <w:pPr>
        <w:autoSpaceDN w:val="0"/>
        <w:autoSpaceDE w:val="0"/>
        <w:widowControl/>
        <w:spacing w:line="162" w:lineRule="exact" w:before="18" w:after="0"/>
        <w:ind w:left="1938" w:right="0" w:firstLine="0"/>
        <w:jc w:val="left"/>
      </w:pPr>
      <w:r>
        <w:rPr>
          <w:w w:val="101.18680000305176"/>
          <w:rFonts w:ascii="TimesNewRomanPSMT" w:hAnsi="TimesNewRomanPSMT" w:eastAsia="TimesNewRomanPSMT"/>
          <w:b w:val="0"/>
          <w:i w:val="0"/>
          <w:color w:val="000000"/>
          <w:sz w:val="16"/>
        </w:rPr>
        <w:t>documents and information</w:t>
      </w:r>
    </w:p>
    <w:p>
      <w:pPr>
        <w:sectPr>
          <w:pgSz w:w="11900" w:h="16840"/>
          <w:pgMar w:top="450" w:right="88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2" w:lineRule="exact" w:before="124" w:after="232"/>
        <w:ind w:left="20" w:right="0" w:firstLine="0"/>
        <w:jc w:val="left"/>
      </w:pPr>
      <w:r>
        <w:rPr>
          <w:w w:val="101.18680000305176"/>
          <w:rFonts w:ascii="TimesNewRomanPS" w:hAnsi="TimesNewRomanPS" w:eastAsia="TimesNewRomanPS"/>
          <w:b/>
          <w:i w:val="0"/>
          <w:color w:val="000000"/>
          <w:sz w:val="16"/>
          <w:u w:val="single"/>
        </w:rPr>
        <w:t>ANNEX 4: INVENTORY OF APPLICATIONS USED BY SILICON SMELTERS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010"/>
        <w:gridCol w:w="2010"/>
        <w:gridCol w:w="2010"/>
        <w:gridCol w:w="2010"/>
        <w:gridCol w:w="2010"/>
      </w:tblGrid>
      <w:tr>
        <w:trPr>
          <w:trHeight w:hRule="exact" w:val="202"/>
        </w:trPr>
        <w:tc>
          <w:tcPr>
            <w:tcW w:type="dxa" w:w="1640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4" w:after="0"/>
              <w:ind w:left="0" w:right="0" w:firstLine="0"/>
              <w:jc w:val="left"/>
            </w:pPr>
            <w:r>
              <w:rPr>
                <w:w w:val="97.85096985953194"/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Name of Application</w:t>
            </w:r>
          </w:p>
        </w:tc>
        <w:tc>
          <w:tcPr>
            <w:tcW w:type="dxa" w:w="4200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4" w:after="0"/>
              <w:ind w:left="328" w:right="0" w:firstLine="0"/>
              <w:jc w:val="left"/>
            </w:pPr>
            <w:r>
              <w:rPr>
                <w:w w:val="97.85096985953194"/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Functionality</w:t>
            </w:r>
          </w:p>
        </w:tc>
        <w:tc>
          <w:tcPr>
            <w:tcW w:type="dxa" w:w="1172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4" w:after="0"/>
              <w:ind w:left="0" w:right="0" w:firstLine="0"/>
              <w:jc w:val="center"/>
            </w:pPr>
            <w:r>
              <w:rPr>
                <w:w w:val="97.85096985953194"/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Priority</w:t>
            </w:r>
          </w:p>
        </w:tc>
        <w:tc>
          <w:tcPr>
            <w:tcW w:type="dxa" w:w="1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0" w:firstLine="0"/>
              <w:jc w:val="left"/>
            </w:pPr>
            <w:r>
              <w:rPr>
                <w:w w:val="97.85096985953194"/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Local or Central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0" w:firstLine="0"/>
              <w:jc w:val="center"/>
            </w:pPr>
            <w:r>
              <w:rPr>
                <w:w w:val="97.85096985953194"/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Server and Application</w:t>
            </w:r>
          </w:p>
        </w:tc>
      </w:tr>
      <w:tr>
        <w:trPr>
          <w:trHeight w:hRule="exact" w:val="156"/>
        </w:trPr>
        <w:tc>
          <w:tcPr>
            <w:tcW w:type="dxa" w:w="2010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2010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2010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18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260" w:right="0" w:firstLine="0"/>
              <w:jc w:val="left"/>
            </w:pPr>
            <w:r>
              <w:rPr>
                <w:w w:val="97.85096985953194"/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Server</w:t>
            </w:r>
          </w:p>
        </w:tc>
        <w:tc>
          <w:tcPr>
            <w:tcW w:type="dxa" w:w="180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118" w:right="0" w:firstLine="0"/>
              <w:jc w:val="left"/>
            </w:pPr>
            <w:r>
              <w:rPr>
                <w:w w:val="97.85096985953194"/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Management Responsibili</w:t>
            </w:r>
          </w:p>
        </w:tc>
      </w:tr>
      <w:tr>
        <w:trPr>
          <w:trHeight w:hRule="exact" w:val="204"/>
        </w:trPr>
        <w:tc>
          <w:tcPr>
            <w:tcW w:type="dxa" w:w="1640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Ges-Indus</w:t>
            </w:r>
          </w:p>
        </w:tc>
        <w:tc>
          <w:tcPr>
            <w:tcW w:type="dxa" w:w="4200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328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Management of commercial and financial flow</w:t>
            </w:r>
          </w:p>
        </w:tc>
        <w:tc>
          <w:tcPr>
            <w:tcW w:type="dxa" w:w="1172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center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High </w:t>
            </w:r>
          </w:p>
        </w:tc>
        <w:tc>
          <w:tcPr>
            <w:tcW w:type="dxa" w:w="1188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236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Central</w:t>
            </w:r>
          </w:p>
        </w:tc>
        <w:tc>
          <w:tcPr>
            <w:tcW w:type="dxa" w:w="1800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center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EIT</w:t>
            </w:r>
          </w:p>
        </w:tc>
      </w:tr>
      <w:tr>
        <w:trPr>
          <w:trHeight w:hRule="exact" w:val="200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Email service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328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Transmission and reception of electronic mail</w:t>
            </w:r>
          </w:p>
        </w:tc>
        <w:tc>
          <w:tcPr>
            <w:tcW w:type="dxa" w:w="1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center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High </w:t>
            </w:r>
          </w:p>
        </w:tc>
        <w:tc>
          <w:tcPr>
            <w:tcW w:type="dxa" w:w="1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236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Central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center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EIT</w:t>
            </w:r>
          </w:p>
        </w:tc>
      </w:tr>
      <w:tr>
        <w:trPr>
          <w:trHeight w:hRule="exact" w:val="206"/>
        </w:trPr>
        <w:tc>
          <w:tcPr>
            <w:tcW w:type="dxa" w:w="16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OFINET</w:t>
            </w:r>
          </w:p>
        </w:tc>
        <w:tc>
          <w:tcPr>
            <w:tcW w:type="dxa" w:w="42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center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WEB application, access to electronic mail service and</w:t>
            </w:r>
          </w:p>
        </w:tc>
        <w:tc>
          <w:tcPr>
            <w:tcW w:type="dxa" w:w="11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center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Medium</w:t>
            </w:r>
          </w:p>
        </w:tc>
        <w:tc>
          <w:tcPr>
            <w:tcW w:type="dxa" w:w="118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236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Central</w:t>
            </w:r>
          </w:p>
        </w:tc>
        <w:tc>
          <w:tcPr>
            <w:tcW w:type="dxa" w:w="18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center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EIT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0048"/>
      </w:tblGrid>
      <w:tr>
        <w:trPr>
          <w:trHeight w:hRule="exact" w:val="168"/>
        </w:trPr>
        <w:tc>
          <w:tcPr>
            <w:tcW w:type="dxa" w:w="63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1008" w:right="0" w:firstLine="0"/>
              <w:jc w:val="left"/>
            </w:pPr>
            <w:r>
              <w:rPr>
                <w:w w:val="101.186800003051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sharing of documents and information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40"/>
      <w:pgMar w:top="450" w:right="872" w:bottom="1440" w:left="9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