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3940" w:val="left"/>
          <w:tab w:pos="8990" w:val="left"/>
        </w:tabs>
        <w:autoSpaceDE w:val="0"/>
        <w:widowControl/>
        <w:spacing w:line="204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10.16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CONSULTING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Consulting Agreement (the “Agreement”) is made and entered into as of this 2nd day of January 2020, by and between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Global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Technologies, Ltd (hereinafter the “Company”)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a Delaware corporation whose address is 501 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Ave N., Suite 901, St. Petersburg, FL 33701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Timothy Cabrera (hereinafter the “Consultant”)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 individual whose address is 11718 SE Federal Hwy., Suite 372, Hobe Sound, FL 33455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(individually, a “Party”; collectively, the “Parties”). This Agreement is non-exclusive.</w:t>
      </w:r>
    </w:p>
    <w:p>
      <w:pPr>
        <w:autoSpaceDN w:val="0"/>
        <w:tabs>
          <w:tab w:pos="608" w:val="left"/>
          <w:tab w:pos="457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RECITALS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has asked to retain Consultant to provide various services to the Company as agreed to by both parties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outlined in Section 3; and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Consultant has advised the Company of its willingness and desire to provide such services as outlined in Section 3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the terms and conditions set forth in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NOW, THEREFORE,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of the mutual promises herein contained, the Parties hereto hereby agree as follows: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 CONDITIONS.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will not take effect, and Consultant will have no obligation to provide any service whatsoever, unless and until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sends a signed copy of this Agreement to Consultant (either by mail or facsimile copy). The Company shall be truthful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in regard to any relevant material regarding the Company, verbally or otherwise, or this entire Agreement will terminate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consideration paid shall be forfeited without further notice.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execution of this Agreement, the Company agrees to cooperate with Consultant in carrying out the purposes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keep Consultant informed of any developments of importance pertaining to the Company’s business and abide by this Agreement in its entirety.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 TERM OF AGREEMENT.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shall be in full force and effect commencing on January 2, 2020 and shall remain in effect for one (1)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year or until Consultant completes the services requested. Either Party shall have the right to terminate this Agreement without notice in the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bankruptcy, insolvency, or assignment for the benefit of creditors of the other Party. Either Party shall have the right to terminate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with notice, and the effective date of termination shall be the date such notice is received (by mail, overnight delivery, or fax)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terminated Party.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 CONSULTING SERVICES.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the term of this Agreement, Consultant will perform the services described below (the “Consulting Services”)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Company.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18"/>
        <w:ind w:left="608" w:right="316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(a) Transactional Business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Further development of the business plan for the Company’s subsidiaries;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188"/>
        </w:trPr>
        <w:tc>
          <w:tcPr>
            <w:tcW w:type="dxa" w:w="7080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0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820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____ ____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121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Seek and advise the Company on the acquisition of potential products for the Company’s subsidiaries;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Assist in negotiating acquisition or merger consideration as required by the Company;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Setting up meetings between the Company and acquisition candidates and arranging other liaisons between them;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Assist the Company with certain day to day tasks of managing the Company’s subsidiaries;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Assist in the sale of any inventory held by any of the Company’s subsidiaries;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(vii) Assist in the sale of any future products acquired, licensed or developed by the Company and or its subsidiaries.</w:t>
      </w:r>
    </w:p>
    <w:p>
      <w:pPr>
        <w:autoSpaceDN w:val="0"/>
        <w:autoSpaceDE w:val="0"/>
        <w:widowControl/>
        <w:spacing w:line="202" w:lineRule="exact" w:before="2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 STANDARD OF PERFORMANCE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Consultant shall devote such time and efforts to the affairs of the Company as is reasonably necessary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render the services contemplated by this Agreement. Consultant is not responsible for the performance of any services that may be rendered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if the Company fails to provide the requested information in writing prior thereto. The services of Consultant shall not include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rendering of any legal opinions or the performance of any work that is in the ordinary purview of a certified public accountant. Consultant cannot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guarantee results on behalf of the Company but shall use commercially reasonable efforts in providing the services listed above. Consultant’s duty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to identify prospective acquisition/joint venture companies for the Company. Consultant will in no way act as a “broker-dealer” under state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laws. Because all final decisions pertaining to any particular investment are to be made by the Company, the Company may be required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communicate directly with potential acquisition/joint venture prospective companies.</w:t>
      </w:r>
    </w:p>
    <w:p>
      <w:pPr>
        <w:autoSpaceDN w:val="0"/>
        <w:autoSpaceDE w:val="0"/>
        <w:widowControl/>
        <w:spacing w:line="202" w:lineRule="exact" w:before="2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 COMPENSATION TO CONSULTANT.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 Consultant’s entire compensation for its performance under this agreement, the Company shall pay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$250,000,00 cash compensation. In addition, the Consultant shall earn additional cash compensation for the sale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inventory/assets that were acquired in the acquisition of TCBM Holdings, LLC on November 30, 2019. Any cash compensation paid to Consultant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treated as a reduction in principal to the Convertible Note (“Note”) issued by the Company to Jetco Holdings, LLC (“Jetco”) on November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30, 2019. For example: The $250,000 cash compensation paid to Consultant shall reduce the Jetco Note principal amount by $250,000. In the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were to sale $100,000 of inventory held by the Company, the payout of $100,000 to Consultant will reduce the principal on the Jetco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Note by $100,000. Additional compensation to the Consultant for future products sold by the Company, or revenue earned by the Company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provided will be negotiated by the Company and Consultant at the time of potential revenue recognition.</w:t>
      </w:r>
    </w:p>
    <w:p>
      <w:pPr>
        <w:autoSpaceDN w:val="0"/>
        <w:autoSpaceDE w:val="0"/>
        <w:widowControl/>
        <w:spacing w:line="202" w:lineRule="exact" w:before="0" w:after="18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will be solely responsible for all tax returns and payments required to be filed with or made to any federal, state or local tax authority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the Consultant’s performance of services and receipt of fees under this Agreement. The Company will regularly report amounts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paid, if any, to the Consultant by filing Form 1099-MISC and/or other appropriate form with the Internal Revenue Service as required by law.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Because the Consultant is an independent contractor, the Company will not withhold or make payments for social security; make consulting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insurance or disability insurance contributions; or obtain worker’s compensation insurance on the Consultant’s behalf. The Consultant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to accept exclusive liability for complying with all applicable state and federal laws governing self-employed individuals,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such as payment of taxes, social security, disability and other contributions based on fees paid to the Consultant under this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hereby agrees to indemnify and defend the Company against any and all such taxes or contributions, including penalties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interest.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190"/>
        </w:trPr>
        <w:tc>
          <w:tcPr>
            <w:tcW w:type="dxa" w:w="7080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0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820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____ ____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CONFIDENTIAL INFORMATION.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and the Company acknowledge that each will have access to proprietary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regarding the business operations of the other and agree to keep all such information secret and confidential and not to use or disclose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to any individual or organization without the non-disclosing Parties prior written consent. It is hereby agreed that from time to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Consultant and the Company may designate certain disclosed information as confidential for purposes of this Agreement.</w:t>
      </w:r>
    </w:p>
    <w:p>
      <w:pPr>
        <w:autoSpaceDN w:val="0"/>
        <w:autoSpaceDE w:val="0"/>
        <w:widowControl/>
        <w:spacing w:line="202" w:lineRule="exact" w:before="2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INDEMNIFICATION.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(the “Indemnifying Party”) agrees to indemnify, defend, and hold harmless the other Party (the “Indemnified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Party”) from and against any and all claims, damages, and liabilities, including any and all expense and costs, legal or otherwise, caused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negligent act or omission of the Indemnifying Party, its subcontractors, agents, or employees, incurred by the Indemnified Party in the investigation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defense of any claim, demand, or action arising out of the work performed under this Agreement; including breach of the Indemnifying Party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Agreement. The Indemnifying Party shall not be liable for any claims, damages, or liabilities caused by the sole negligence of the 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Party, its subcontractors, agents, or employees.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Indemnified Party shall notify promptly the Indemnifying Party of the existence of any claim, demand, or other matter to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Party’s indemnification obligations would apply, and shall give them a reasonable opportunity to settle or defend the same at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 expense and with counsel of their own selection, provided that the Indemnified Party shall at all times also have the right to fully participate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defense. If the Indemnifying Party, within a reasonable time after this notice, fails to take appropriate steps to settle or defend the claim, demand,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the matter, the Indemnified Party shall, upon written notice, have the right, but not the obligation, to undertake such settlement or defense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compromise or settle the claim, demand, or other matter on behalf, for the account, and at the risk, of the Indemnifying Party.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rights and obligations of the Parties under this Article shall be binding upon and inure to the benefit of any successors, assigns,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heirs of the Parties.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2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COVENANTS OF CONSULTANT.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covenants and agrees with the Company that, in performing Consulting Services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Consultant will: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Comply with all federal and state laws;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Not make any representations other than those authorized by the Company;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Not publish, circulate or otherwise use any materials or documents other than materials provided by or otherwise approved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186"/>
        </w:trPr>
        <w:tc>
          <w:tcPr>
            <w:tcW w:type="dxa" w:w="7080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0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820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____ ____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608" w:right="0" w:hanging="60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 COVENANTS OF THE COMPANY.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Company covenants, represents and warrants to Consultant as follows: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Authorization.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Company and its signatories herein have full power and authority to enter into this Agreement and to carry out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transactions contemplated hereby.</w:t>
      </w:r>
    </w:p>
    <w:p>
      <w:pPr>
        <w:autoSpaceDN w:val="0"/>
        <w:autoSpaceDE w:val="0"/>
        <w:widowControl/>
        <w:spacing w:line="200" w:lineRule="exact" w:before="4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 Violation.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Neither the execution and delivery of this Agreement nor the consummation of the transactions contemplated hereby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violate any provision of the charter or by-laws of the Company or violate any terms of provision of any other material agreement to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is a party or any applicable statute or law.</w:t>
      </w:r>
    </w:p>
    <w:p>
      <w:pPr>
        <w:autoSpaceDN w:val="0"/>
        <w:autoSpaceDE w:val="0"/>
        <w:widowControl/>
        <w:spacing w:line="200" w:lineRule="exact" w:before="4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Contracts in Full Force and Effect.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contracts, agreements, plans, policies and licenses to which the Company is a party are valid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in full force and effect.</w:t>
      </w:r>
    </w:p>
    <w:p>
      <w:pPr>
        <w:autoSpaceDN w:val="0"/>
        <w:autoSpaceDE w:val="0"/>
        <w:widowControl/>
        <w:spacing w:line="200" w:lineRule="exact" w:before="4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Consents.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 consent of any person, other than the signatories hereto, is necessary to the consummation of the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hereby, including, without limitation, consents from parties to loans, contracts, lease or other agreements and consents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governmental agencies, whether federal, state, or local.</w:t>
      </w:r>
    </w:p>
    <w:p>
      <w:pPr>
        <w:autoSpaceDN w:val="0"/>
        <w:autoSpaceDE w:val="0"/>
        <w:widowControl/>
        <w:spacing w:line="200" w:lineRule="exact" w:before="4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Consultant Reliance.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Consultant has and will rely upon the documents, instruments and written information furnished to Consultant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Company’s officers or designated employees.</w:t>
      </w:r>
    </w:p>
    <w:p>
      <w:pPr>
        <w:autoSpaceDN w:val="0"/>
        <w:autoSpaceDE w:val="0"/>
        <w:widowControl/>
        <w:spacing w:line="202" w:lineRule="exact" w:before="2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Company’s Material.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representations and statements provided herein about the Company are true and complete and accurate.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agrees to indemnify, hold harmless, and defend Consultant, its officers, directors, agents and employees, at the Company’s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 for any proceeding or suit which may rise out of any inaccuracy or incompleteness of any such material or written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supplied to Consultant.</w:t>
      </w:r>
    </w:p>
    <w:p>
      <w:pPr>
        <w:autoSpaceDN w:val="0"/>
        <w:autoSpaceDE w:val="0"/>
        <w:widowControl/>
        <w:spacing w:line="200" w:lineRule="exact" w:before="4" w:after="0"/>
        <w:ind w:left="608" w:right="0" w:hanging="60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 MISCELLANEOUS PROVISIONS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Amendment and Modification.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may be amended, modified and supplemented only by written agreement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and Consultant.</w:t>
      </w:r>
    </w:p>
    <w:p>
      <w:pPr>
        <w:autoSpaceDN w:val="0"/>
        <w:autoSpaceDE w:val="0"/>
        <w:widowControl/>
        <w:spacing w:line="202" w:lineRule="exact" w:before="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Waiver of Compliance.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Any failure of Consultant, on the one hand, or the Company, on the other, to comply with any obligation,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or condition herein may be expressly waived in writing, but such waiver or failure to insist upon strict compliance with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obligation, covenant, agreement or condition shall not operate as a waiver of, or estoppel with respect to, any subsequent or other failure.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Expenses, Transfer Taxes, Etc.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Other than as expressly set forth in this Agreement, the Parties shall bear their own costs and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carrying out the provisions of this Agreement.</w:t>
      </w:r>
    </w:p>
    <w:p>
      <w:pPr>
        <w:autoSpaceDN w:val="0"/>
        <w:autoSpaceDE w:val="0"/>
        <w:widowControl/>
        <w:spacing w:line="200" w:lineRule="exact" w:before="4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Compliance with Regulatory Agencies.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Party agrees that all actions, direct or indirect, taken by it and its respective agents,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and affiliates in connection with this Agreement and any financing or underwriting hereunder shall conform to all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Federal and State securities laws.</w:t>
      </w:r>
    </w:p>
    <w:p>
      <w:pPr>
        <w:autoSpaceDN w:val="0"/>
        <w:autoSpaceDE w:val="0"/>
        <w:widowControl/>
        <w:spacing w:line="202" w:lineRule="exact" w:before="2" w:after="2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Notices.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Any notices to be given hereunder by any Party to the other may be effected either by personal delivery in writing, by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reputable, national overnight delivery service, by facsimile transmission or by mail, registered or certified, postage prepaid with return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requested. Notices shall be addressed to the “Contact Person” at the addresses appearing on the signature page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but any Party may change his address or “Contact Person” by written notice in accordance with this subsection. Notices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personally shall be deemed delivered as of actual receipt, notices sent by facsimile shall be deemed delivered one (1) day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electronic confirmation of receipt, notices sent by overnight delivery service shall be deemed delivered one (1) day after delivery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service, mailed notices shall be deemed delivered as of five (5) days after mailing.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186"/>
        </w:trPr>
        <w:tc>
          <w:tcPr>
            <w:tcW w:type="dxa" w:w="7080"/>
            <w:tcBorders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0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820"/>
            <w:tcBorders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____ ____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Assignment.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and all of the provisions hereof shall be binding upon and inure to the benefit of the Parties hereto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their respective successors and permitted assigns.</w:t>
      </w:r>
    </w:p>
    <w:p>
      <w:pPr>
        <w:autoSpaceDN w:val="0"/>
        <w:autoSpaceDE w:val="0"/>
        <w:widowControl/>
        <w:spacing w:line="200" w:lineRule="exact" w:before="4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Delegation.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Neither Party shall delegate the performance of its duties under this Agreement without the prior written consent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Party.</w:t>
      </w:r>
    </w:p>
    <w:p>
      <w:pPr>
        <w:autoSpaceDN w:val="0"/>
        <w:autoSpaceDE w:val="0"/>
        <w:widowControl/>
        <w:spacing w:line="202" w:lineRule="exact" w:before="2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Publicity.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Neither Consultant nor the Company shall make or issue or cause to be made or issued, any announcement 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concerning this Agreement, or the transactions contemplated hereby for dissemination to the general public without the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of the other Party. This provision shall not apply, however, to any announcement or written statement required to be made by law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the regulations of any Federal or State governmental agency, except that the Party required to disclose shall consult with and make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efforts to accommodate changes to the required disclosure and the timing of such announcement suggested by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Party.</w:t>
      </w:r>
    </w:p>
    <w:p>
      <w:pPr>
        <w:autoSpaceDN w:val="0"/>
        <w:autoSpaceDE w:val="0"/>
        <w:widowControl/>
        <w:spacing w:line="202" w:lineRule="exact" w:before="2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Arbitration and Governing Law.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a dispute arises out of or relates to this contract, or the breach thereof, and if the dispute cannot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settled through negotiation, the parties agree first to try in good faith to settle the dispute by mediation administered by the American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 Association under its Commercial Mediation Procedures before resorting to arbitration, litigation, or some other dispute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resolution procedure. If they do not reach such solution within a period of 60 days, then, upon notice by either party to the other,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disputes, claims, questions, or differences shall be finally settled by arbitration administered by the American Arbitration Association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provisions of its Commercial Arbitration Rules. This Agreement and the legal relations among the Parties hereto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governed by and construed in accordance with the laws of the State of Florida, without regard to its conflict of law doctrine.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agree that the venue for the resolution of all disputes arising under the terms of this Agreement and the transactions contemplated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herein will be the County of Pinellas, State of Florida.</w:t>
      </w:r>
    </w:p>
    <w:p>
      <w:pPr>
        <w:autoSpaceDN w:val="0"/>
        <w:autoSpaceDE w:val="0"/>
        <w:widowControl/>
        <w:spacing w:line="200" w:lineRule="exact" w:before="4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Counterparts.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may be executed simultaneously in two or more counterparts, each of which shall be deemed an original,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but all of which together shall constitute one and the same instrument.</w:t>
      </w:r>
    </w:p>
    <w:p>
      <w:pPr>
        <w:autoSpaceDN w:val="0"/>
        <w:autoSpaceDE w:val="0"/>
        <w:widowControl/>
        <w:spacing w:line="200" w:lineRule="exact" w:before="4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Headings.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heading of the sections of this Agreement are inserted for convenience only and shall not constitute a part hereto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affect in any way the meaning or interpretation of this Agreement.</w:t>
      </w:r>
    </w:p>
    <w:p>
      <w:pPr>
        <w:autoSpaceDN w:val="0"/>
        <w:autoSpaceDE w:val="0"/>
        <w:widowControl/>
        <w:spacing w:line="202" w:lineRule="exact" w:before="2" w:after="2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Entire Agreement.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including any Exhibits hereto, and the other documents and certificates delivered pursuant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hereto, set forth the entire agreement and understanding of the Parties hereto in respect of the subject matter contained herein,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supersedes all prior agreements, promise, covenants, arrangements, communications, representations or warranties, whether oral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written, by any officers employee or representative of any Party hereto.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188"/>
        </w:trPr>
        <w:tc>
          <w:tcPr>
            <w:tcW w:type="dxa" w:w="7080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0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2820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____ ____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(m)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Third Parties.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Except as specifically set forth or referred to herein, nothing herein express or implied is intended or shall be construed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confer upon or give to any person or entity other than the Parties hereto and their successors or assigns, any rights or remedies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by reason of this Agreement.</w:t>
      </w:r>
    </w:p>
    <w:p>
      <w:pPr>
        <w:autoSpaceDN w:val="0"/>
        <w:autoSpaceDE w:val="0"/>
        <w:widowControl/>
        <w:spacing w:line="200" w:lineRule="exact" w:before="4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(n)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Attorneys’ Fees and Costs.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any action is necessary to enforce and collect upon the terms of this Agreement, the prevailing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entitled to reasonable attorneys’ fees and costs, in addition to any other relief to which that Party may be entitled. This provision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construed as applicable to the entire Agreement.</w:t>
      </w:r>
    </w:p>
    <w:p>
      <w:pPr>
        <w:autoSpaceDN w:val="0"/>
        <w:autoSpaceDE w:val="0"/>
        <w:widowControl/>
        <w:spacing w:line="200" w:lineRule="exact" w:before="4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Survivability.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any part of this Agreement is found or deemed by a court of competent jurisdiction to be invalid or unenforceable,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 shall be severable from the remainder of the Agreement.</w:t>
      </w:r>
    </w:p>
    <w:p>
      <w:pPr>
        <w:autoSpaceDN w:val="0"/>
        <w:autoSpaceDE w:val="0"/>
        <w:widowControl/>
        <w:spacing w:line="200" w:lineRule="exact" w:before="4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(p)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Further Assurances.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of the Parties agrees that it shall from time-to-time take such actions and execute such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instruments as may be reasonably necessary or convenient to implement and carry out the intent and purposes of this Agreement.</w:t>
      </w:r>
    </w:p>
    <w:p>
      <w:pPr>
        <w:autoSpaceDN w:val="0"/>
        <w:autoSpaceDE w:val="0"/>
        <w:widowControl/>
        <w:spacing w:line="202" w:lineRule="exact" w:before="2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(q)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Relationship of the Parties.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Nothing contained in this Agreement shall be deemed to constitute either Party becoming the partner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other, the agent or legal representative of the other, nor create any fiduciary relationship between them, except as otherwise expressly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herein. It is not the intention of the Parties to create nor shall this Agreement be construed to create any commercial relationship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 partnership. Neither Party shall have any authority to act for or to assume any obligation or responsibility on behalf of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except as otherwise expressly provided herein. The rights, duties, obligations and liabilities of the Parties shall be separate, not joint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collective. Each Party shall be responsible only for its obligations as herein set out and shall be liable only for its share of the costs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expenses as provided herein.</w:t>
      </w:r>
    </w:p>
    <w:p>
      <w:pPr>
        <w:autoSpaceDN w:val="0"/>
        <w:autoSpaceDE w:val="0"/>
        <w:widowControl/>
        <w:spacing w:line="200" w:lineRule="exact" w:before="4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(r)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 Authority to Obligate the Company.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Without the consent of the Board of Directors of the Company, Consultant shall have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to take, nor shall it take, any action committing or obligating the Company in any manner, and it shall not represent itself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others as having such authority.</w:t>
      </w:r>
    </w:p>
    <w:p>
      <w:pPr>
        <w:autoSpaceDN w:val="0"/>
        <w:autoSpaceDE w:val="0"/>
        <w:widowControl/>
        <w:spacing w:line="202" w:lineRule="exact" w:before="2" w:after="2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 Non-Circumvention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and for valuable consideration, the Company hereby agrees that Consultant may introduce (whether by written, oral,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data, or other form of communication) the Company to one or more opportunities, including, without limitation, existing or potential investors,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lenders, borrowers, trusts, natural persons, corporations, limited liability companies, partnerships, unincorporated businesses, sole proprietorships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similar entities (an “Opportunity” or “Opportunities”). The Company further acknowledges and agrees that the identity of the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Opportunities, and all other information concerning an Opportunity (including without limitation, all mailing information, phone and fax numbers,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 addresses and other contact information) introduced hereunder are the property of Consultant, and shall be treated as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by the Company, it affiliates, officers, directors, shareholders, employees, agents, representatives, successors and assigns.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not use such information, except in the context of any arrangement with Consultant in which Consultant is directly and actively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involved, and never without Consultant’s prior written approval. The Company further agrees that neither it nor its employees, affiliates or assigns,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enter into, or otherwise arrange (either for it/him/herself, or any other person or entity) any business relationship, contact any person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regarding such Opportunity, either directly or indirectly, or any of its affiliates, or accept any compensation or advantage in relation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Opportunity except as directly though Consultant, without the prior written approval of Consultant. Consultant is relying on the Company’s assent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these terms and their intent to be bound by the terms by evidence of their signature. Without the Company’s signed assent to these terms,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Consultant would not introduce any Opportunity or disclose any confidential information to the Company as herein described.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186"/>
        </w:trPr>
        <w:tc>
          <w:tcPr>
            <w:tcW w:type="dxa" w:w="7080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0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2820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____ ____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2" w:lineRule="exact" w:before="0" w:after="18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WITNESS, WHEREOF, the Parties hereto have caused this Agreement to be duly executed, all as of the day and year first above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190"/>
        </w:trPr>
        <w:tc>
          <w:tcPr>
            <w:tcW w:type="dxa" w:w="4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COMPANY:</w:t>
            </w:r>
          </w:p>
        </w:tc>
        <w:tc>
          <w:tcPr>
            <w:tcW w:type="dxa" w:w="190"/>
            <w:vMerge w:val="restart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CONSULTANT:</w:t>
            </w:r>
          </w:p>
        </w:tc>
        <w:tc>
          <w:tcPr>
            <w:tcW w:type="dxa" w:w="2040"/>
            <w:vMerge w:val="restart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0"/>
        </w:trPr>
        <w:tc>
          <w:tcPr>
            <w:tcW w:type="dxa" w:w="4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GLOBAL TECHNOLOGIES, LTD</w:t>
            </w:r>
          </w:p>
        </w:tc>
        <w:tc>
          <w:tcPr>
            <w:tcW w:type="dxa" w:w="2480"/>
            <w:vMerge/>
            <w:tcBorders>
              <w:bottom w:sz="10.399999999999977" w:val="single" w:color="#000000"/>
            </w:tcBorders>
          </w:tcPr>
          <w:p/>
        </w:tc>
        <w:tc>
          <w:tcPr>
            <w:tcW w:type="dxa" w:w="2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TIMOTHY CABRERA</w:t>
            </w:r>
          </w:p>
        </w:tc>
        <w:tc>
          <w:tcPr>
            <w:tcW w:type="dxa" w:w="2480"/>
            <w:vMerge/>
            <w:tcBorders>
              <w:bottom w:sz="10.399999999999977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4862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2480"/>
            <w:vMerge/>
            <w:tcBorders>
              <w:bottom w:sz="10.399999999999977" w:val="single" w:color="#000000"/>
            </w:tcBorders>
          </w:tcPr>
          <w:p/>
        </w:tc>
        <w:tc>
          <w:tcPr>
            <w:tcW w:type="dxa" w:w="2808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2480"/>
            <w:vMerge/>
            <w:tcBorders>
              <w:bottom w:sz="10.399999999999977" w:val="single" w:color="#000000"/>
            </w:tcBorders>
          </w:tcPr>
          <w:p/>
        </w:tc>
      </w:tr>
      <w:tr>
        <w:trPr>
          <w:trHeight w:hRule="exact" w:val="216"/>
        </w:trPr>
        <w:tc>
          <w:tcPr>
            <w:tcW w:type="dxa" w:w="4862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Jimmy Wayne Anderson</w:t>
            </w:r>
          </w:p>
        </w:tc>
        <w:tc>
          <w:tcPr>
            <w:tcW w:type="dxa" w:w="190"/>
            <w:vMerge w:val="restart"/>
            <w:tcBorders>
              <w:top w:sz="10.399999999999977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2808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Timothy Cabrera</w:t>
            </w:r>
          </w:p>
        </w:tc>
        <w:tc>
          <w:tcPr>
            <w:tcW w:type="dxa" w:w="2040"/>
            <w:vMerge w:val="restart"/>
            <w:tcBorders>
              <w:top w:sz="10.399999999999977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3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____ ____</w:t>
            </w:r>
          </w:p>
        </w:tc>
      </w:tr>
      <w:tr>
        <w:trPr>
          <w:trHeight w:hRule="exact" w:val="200"/>
        </w:trPr>
        <w:tc>
          <w:tcPr>
            <w:tcW w:type="dxa" w:w="4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Its: Chairman and CEO</w:t>
            </w:r>
          </w:p>
        </w:tc>
        <w:tc>
          <w:tcPr>
            <w:tcW w:type="dxa" w:w="2480"/>
            <w:vMerge/>
            <w:tcBorders>
              <w:top w:sz="10.399999999999977" w:val="single" w:color="#000000"/>
              <w:bottom w:sz="9.600000000000136" w:val="single" w:color="#000000"/>
            </w:tcBorders>
          </w:tcPr>
          <w:p/>
        </w:tc>
        <w:tc>
          <w:tcPr>
            <w:tcW w:type="dxa" w:w="2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Its: Individual capacity</w:t>
            </w:r>
          </w:p>
        </w:tc>
        <w:tc>
          <w:tcPr>
            <w:tcW w:type="dxa" w:w="2480"/>
            <w:vMerge/>
            <w:tcBorders>
              <w:top w:sz="10.399999999999977" w:val="single" w:color="#000000"/>
              <w:bottom w:sz="9.600000000000136" w:val="single" w:color="#000000"/>
            </w:tcBorders>
          </w:tcPr>
          <w:p/>
        </w:tc>
      </w:tr>
      <w:tr>
        <w:trPr>
          <w:trHeight w:hRule="exact" w:val="396"/>
        </w:trPr>
        <w:tc>
          <w:tcPr>
            <w:tcW w:type="dxa" w:w="4862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 January 2, 2020</w:t>
            </w:r>
          </w:p>
        </w:tc>
        <w:tc>
          <w:tcPr>
            <w:tcW w:type="dxa" w:w="2480"/>
            <w:vMerge/>
            <w:tcBorders>
              <w:top w:sz="10.399999999999977" w:val="single" w:color="#000000"/>
              <w:bottom w:sz="9.600000000000136" w:val="single" w:color="#000000"/>
            </w:tcBorders>
          </w:tcPr>
          <w:p/>
        </w:tc>
        <w:tc>
          <w:tcPr>
            <w:tcW w:type="dxa" w:w="2808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Dated: January 2, 2020</w:t>
            </w:r>
          </w:p>
        </w:tc>
        <w:tc>
          <w:tcPr>
            <w:tcW w:type="dxa" w:w="2480"/>
            <w:vMerge/>
            <w:tcBorders>
              <w:top w:sz="10.399999999999977" w:val="single" w:color="#000000"/>
              <w:bottom w:sz="9.60000000000013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462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