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Exhibit 10.1</w:t>
      </w:r>
    </w:p>
    <w:p>
      <w:pPr>
        <w:autoSpaceDN w:val="0"/>
        <w:autoSpaceDE w:val="0"/>
        <w:widowControl/>
        <w:spacing w:line="164" w:lineRule="exact" w:before="27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Cooperation Agreement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June 18, 2020, by and between Spôk Holdings, Inc., a Delaware corporation (the</w:t>
      </w:r>
    </w:p>
    <w:p>
      <w:pPr>
        <w:autoSpaceDN w:val="0"/>
        <w:autoSpaceDE w:val="0"/>
        <w:widowControl/>
        <w:spacing w:line="166" w:lineRule="exact" w:before="10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White Hat Strategic Partners LP, a Delaware limited partnership,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White Hat SP GP LLC, a Delaware limited liability company,</w:t>
      </w:r>
    </w:p>
    <w:p>
      <w:pPr>
        <w:autoSpaceDN w:val="0"/>
        <w:autoSpaceDE w:val="0"/>
        <w:widowControl/>
        <w:spacing w:line="164" w:lineRule="exact" w:before="8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White Hat Capital Partners LP, a Delaware limited partnership, and White Hat Capital Partners GP LLC, a Delaware limited liability company</w:t>
      </w:r>
    </w:p>
    <w:p>
      <w:pPr>
        <w:autoSpaceDN w:val="0"/>
        <w:autoSpaceDE w:val="0"/>
        <w:widowControl/>
        <w:spacing w:line="166" w:lineRule="exact" w:before="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White Hat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(each of the Company and the White Hat Parties,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to this Agreement, and collectively, the</w:t>
      </w:r>
    </w:p>
    <w:p>
      <w:pPr>
        <w:autoSpaceDN w:val="0"/>
        <w:autoSpaceDE w:val="0"/>
        <w:widowControl/>
        <w:spacing w:line="164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96" w:lineRule="exact" w:before="194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White Hat Parties have voting power or sole dispositive power or otherwise have beneficial ownership of 319,708 shares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Current Position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the common stock, par value $0.0001 per share, of the Company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as of the date of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as of the date of this Agreement, the Company and the White Hat Parties have determined to come to an agreement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matters set forth below; and</w:t>
      </w:r>
    </w:p>
    <w:p>
      <w:pPr>
        <w:autoSpaceDN w:val="0"/>
        <w:autoSpaceDE w:val="0"/>
        <w:widowControl/>
        <w:spacing w:line="188" w:lineRule="exact" w:before="204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premises and the mutual covenants and agreements contained herein, and for other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valuable consideration, the receipt and sufficiency of which are acknowledged, the Parties to this Agreement, intending to be legally bound,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as follows:</w:t>
      </w:r>
    </w:p>
    <w:p>
      <w:pPr>
        <w:autoSpaceDN w:val="0"/>
        <w:tabs>
          <w:tab w:pos="670" w:val="left"/>
        </w:tabs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 Nominations; Certain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8" w:lineRule="exact" w:before="18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Brett Shockley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 Director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has provided the Company with responses to a Director and Officer Questionnaire customarily used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NASDAQ-listed companies and certain biographical information in compliance with Item 401 of Regulation S-K as promulgated by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Exchange Commission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has executed all documents required to be executed by directors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and has cooperated with a background check.</w:t>
      </w:r>
    </w:p>
    <w:p>
      <w:pPr>
        <w:autoSpaceDN w:val="0"/>
        <w:autoSpaceDE w:val="0"/>
        <w:widowControl/>
        <w:spacing w:line="19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Based on the Information, the Nominating and Governance Committee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the Board of Directors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 and the Board have determined that the New Director may serve as an “independent” director of the Company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rules and listing standards of the NASDAQ National Market and applicable rules and regulations of the Securities Exchange Commission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88" w:lineRule="exact" w:before="14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Concurrently with the execution of this Agreement, the Board shall increase the size of the Board by one and appoint the New Director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to fill the resulting vacancy. Concurrently with the execution of this Agreement, the Board shall also appoint the New Director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Nominating Committee.</w:t>
      </w:r>
    </w:p>
    <w:p>
      <w:pPr>
        <w:autoSpaceDN w:val="0"/>
        <w:autoSpaceDE w:val="0"/>
        <w:widowControl/>
        <w:spacing w:line="19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Concurrently with the execution of this Agreement, the White Hat Parties shall send a letter to the Corporate Secretary and Treasurer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irrevocably withdrawing (i) the nomination letter they previously sent to the Company on May 26, 2020, and, accordingly, (ii)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nomination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three directors for election to the Board at the Company’s 2020 Annual Meeting of Stockholders (including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adjournments or postponements thereof,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2020 Annual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0" w:lineRule="exact" w:before="1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Nominating Committee and the Board shall take all necessary action to nominate Brett Shockley for election to the Board at the 2020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Meeting, and to recommend his election and to support and solicit proxies in the same manner as the other candidates nominated by the Board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Company’s proxy statements for the 2020 Annual Meeting.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Nothing in this Agreement shall be deemed to abridge or limit the fiduciary duties of any member of the Board under Delaware law.</w:t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the White Hat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White Hat Parties represent and warrant to the Company as of the date hereof as follows: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White Hat Parties are the beneficial owners of 319,708 shares of Common Stock, such shares of Common Stock constitute all of the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beneficially owned by the White Hat Parties and the White Hat Parties have no agreements, understandings or undertakings with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share or delegate disposition or voting control over such shares of Common Stock, or to transfer, hypothecate or lend such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of the White Hat Parties has the power and authority to execute and deliver this Agreement. This Agreement (i) has been duly and validly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by each of the White Hat Parties, and constitutes a legal, valid and binding obligation of each of the White Hat Parties,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each of the White Hat Parties in accordance with its terms except as may be limited by bankruptcy, insolvency or similar laws affecting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creditors’ rights and general equitable principles, (ii) does not require the approval of any investor in or member of the White Hat Parties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does not violate any law, order of any court or any governmental agency or regulation or the charter or any organizational document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8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Exhibit 10.1</w:t>
      </w:r>
    </w:p>
    <w:p>
      <w:pPr>
        <w:autoSpaceDN w:val="0"/>
        <w:autoSpaceDE w:val="0"/>
        <w:widowControl/>
        <w:spacing w:line="190" w:lineRule="exact" w:before="24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White Hat Parties, or conflict with, result in a breach of or constitute a default under any agreement or instrument by which the White 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or any of their respective assets is bound.</w:t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represents and warrants to the White Hat Parties as of the date hereof that it has the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and authority to execute and deliver this Agreement. This Agreement (i) has been duly and validly authorized by the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a legal, valid and binding obligations of the Company, enforceable against the Company in accordance with its terms except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by bankruptcy, insolvency or similar laws affecting creditors’ rights and general equitable principles and (ii) does not violate any law,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court or any agency or regulation or the Company’s Certificate of Incorporation or the Bylaws, or conflict with, result in a breach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default under any agreement or instrument by which the Company or any of its assets or the assets of its subsidiaries are bound.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Voting Commitments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White Hat Parties shall appear in person or by proxy for quorum purposes at the 2020 Annual Meeting,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adjournment or postponement thereof, to vote all of the shares of Common Stock beneficially owned by the White Hat Parties on the record date (if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2020 Annual Meeting is within thirty (30) days of the anniversary of the Company’s 2019 Annual Meeting of Stockholders, such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shall be no less than 90% of the Current Position) for such meeting (i) in favor of all persons nominated by the Board to serve as directors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against any stockholder nominated candidate not endorsed by the Board, (ii) against the stockholder proposal made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14a-8 under the Exchange Act as disclosed to the White Hat Parties prior to the execution of this Agreement, (iii) to ratify the appointment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independent registered public accounting firm, and (iv) in accordance with the Board’s recommendation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“say-on-pay” proposal and new equity compensation plan 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2020 Proposals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provided, that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proposals described in clauses (ii) through (iv)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White Hat Parties may vote in accordance with the recommendation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Institutional Shareholders Services to the extent such recommendation differs from the voting commitments set forth herein and provided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White Hat Parties do not publicly disclose their vote on such proposals if it differs from the Board’s recommendation; and provided, further,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White Hat Parties shall have the right to vote the shares of Common Stock beneficially owned by the White Hat Parties in their sole discretion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all other proposals brought before the 2020 Annual Meeting. The White Hat Parties shall provide written evidence of the votes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foregoing sentence to the Company no later than ten business days before the 2020 Annual Meeting.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Support Period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contemplated in this Agreement, at all times during the period commencing on the date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ending on the date that is thirty (30) days prior to expiration of the advance notice period for the submission by stockholders of director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nominations for consideration at the 2021 Annual Meeting as set forth in the Bylaws, the White Hat Parties shall not, and shall cause the White 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not to, directly or indirectly, in any manner, alone or in concert with others: (a) attempt to call a special meeting of stockholders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Company; or (b) make a request for any stockholder list or other Company books and records, whether pursuant to Section 220 of the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Corporation Law or otherwise.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the Company shall issue a press release and file a Current Report on Form 8-K in substantially the forms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to between the Parties promptly following the execution and delivery of this Agreement by the Parties and shall not make any other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relating to this Agreement or the transactions contemplated herein without the prior review and good faith consideration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comments made by the White Hat Parties. The White Hat Parties agree that they shall not issue a press release regarding the subject matter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for a period of three (3) months after the date of this Agreement.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Enforcement; Special Remedy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agrees that the other Party would be irreparably injured in the event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the Agreement is breached or not performed. Accordingly, it is agreed that each Party shall be entitled to temporary and permanent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injunctive relief with respect to each and any breach or purported repudiation of this Agreement by the other and to specifically enforce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adherence to this Agreement and the terms and provisions hereof against the other in any action instituted in a court of competent jurisdiction,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any other remedy which such aggrieved Party may be entitled to obtain. Moreover, in the event of the breach of any of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Agreement, timeliness in obtaining relief is of the essence.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Amendments;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this Agreement nor any term hereof may be changed, waived, discharged or terminated orally or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a writing signed by the Parties. No delay on the part of either Party in exercising any right, power or privilege hereunder shall operate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thereof, nor shall any waiver on the part of either Party of any right, power or privilege hereunder operate as a waiver of any other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or privilege hereunder, nor shall any single or partial exercise of any right, power or privilege hereunder, preclude any other or further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or the exercise of any other right, power or privilege hereunder.</w:t>
      </w: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inure to the benefit of and be binding upon the successors and assigns of each of the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not be assigned without the prior written consent of the other Party hereto.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expressed or mentioned in this Agreement is intended or shall be construed to give any person or entity,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the Parties and their respective successors and assigns, any legal or equitable right, remedy or claim under or in respect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any conditions and provisions hereof being intended to be and being for the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Exhibit 10.1</w:t>
      </w:r>
    </w:p>
    <w:p>
      <w:pPr>
        <w:autoSpaceDN w:val="0"/>
        <w:autoSpaceDE w:val="0"/>
        <w:widowControl/>
        <w:spacing w:line="190" w:lineRule="exact" w:before="24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exclusive benefit of the parties hereto and their respective successors and assigns, and for the benefit of no other person or entity.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 and by the Parties in separate counterparts, each of which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 executed shall be deemed to be an original and all of which taken together shall constitute one and the same agreement.</w:t>
      </w:r>
    </w:p>
    <w:p>
      <w:pPr>
        <w:autoSpaceDN w:val="0"/>
        <w:autoSpaceDE w:val="0"/>
        <w:widowControl/>
        <w:spacing w:line="188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in this Agreement are for convenience of reference only and shall not limit or otherwise affect the meaning 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Choice of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88" w:lineRule="exact" w:before="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This Agreement shall be governed by and construed in accordance with the internal laws of the State of Delaware applicable to agreements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to be performed within that state.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Each Party (A) consents to submit itself to the personal jurisdiction of the Court of Chancery or other federal or state courts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 in the event any dispute arises out of this Agreement or the transactions contemplated by this Agreement, (B) agrees that it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to deny or defeat such personal jurisdiction by motion or other request for leave from any such court, (C) agrees that it shall not bring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relating to this Agreement or the transactions contemplated by this Agreement in any court other than the Court of Chancery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or state courts of the State of Delaware, and each Party irrevocably waives the right to trial by jury and (D) each Party irrevocably consents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service of process by a reputable overnight mail delivery service, signature requested, to the address of such Party’s principal place of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as otherwise provided by applicable law.</w:t>
      </w:r>
    </w:p>
    <w:p>
      <w:pPr>
        <w:autoSpaceDN w:val="0"/>
        <w:autoSpaceDE w:val="0"/>
        <w:widowControl/>
        <w:spacing w:line="188" w:lineRule="exact" w:before="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Reimbursement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reimburse the White Hat Parties for their out-of-pocket expenses, including the fees and expenses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counsel, incurred in connection with their engagement with the Company, the Nominations and the negotiation of, and all matters arising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provided, however, that such reimbursement shall not exceed $55,000.</w:t>
      </w:r>
    </w:p>
    <w:p>
      <w:pPr>
        <w:autoSpaceDN w:val="0"/>
        <w:autoSpaceDE w:val="0"/>
        <w:widowControl/>
        <w:spacing w:line="190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at any time subsequent to the date hereof, any provision of this Agreement shall be held by any court of competent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illegal, void or unenforceable, such provision shall be of no force and effect, but the illegality or unenforceability of such provision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effect upon the legality or enforceability of any other provision in this Agreement.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 and 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acknowledges that it has been represented by counsel of its choice throughout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that have preceded the execution of this Agreement, and that it has executed the same with the advice of said independent counsel.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and its counsel cooperated and participated in the drafting and preparation of this Agreement and the documents referred to herein,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drafts relating thereto exchanged among the parties shall be deemed the work product of all of the parties and may not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Party by reason of its drafting or preparation. Accordingly, any rule of law or any legal decision that would require interpretation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ambiguities in this Agreement against any Party that drafted or prepared it is of no application and is hereby expressly waived by each Party,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controversy over interpretations of this Agreement shall be decided without regards to events of drafting or preparation.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contains the entire understanding of the Parties with respect to the subject matter hereof.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notices, consents, determinations, waivers or other communications required or permitted to be given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must be in writing and will be deemed to have been delivered: (i) upon receipt, when delivered personally; (ii) upon receipt, when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e-mail to the e-mail address for a Party set forth below; and (iii) one (1) business day after deposit with a nationally recognized overnight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service, in each case properly addressed to the Party to receive the same. The addresses for such communications shall be:</w:t>
      </w:r>
    </w:p>
    <w:p>
      <w:pPr>
        <w:autoSpaceDN w:val="0"/>
        <w:autoSpaceDE w:val="0"/>
        <w:widowControl/>
        <w:spacing w:line="240" w:lineRule="auto" w:before="8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8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Exhibit 10.1</w:t>
      </w:r>
    </w:p>
    <w:p>
      <w:pPr>
        <w:autoSpaceDN w:val="0"/>
        <w:autoSpaceDE w:val="0"/>
        <w:widowControl/>
        <w:spacing w:line="164" w:lineRule="exact" w:before="27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Company or the Board: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Spôk Holdings, Inc.</w:t>
      </w:r>
    </w:p>
    <w:p>
      <w:pPr>
        <w:autoSpaceDN w:val="0"/>
        <w:autoSpaceDE w:val="0"/>
        <w:widowControl/>
        <w:spacing w:line="190" w:lineRule="exact" w:before="0" w:after="0"/>
        <w:ind w:left="0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6850 Versar Center, Suite 420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Springfield, Virginia 22151-4148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Vince Kelly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vince.kelly@spok.com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190" w:lineRule="exact" w:before="202" w:after="0"/>
        <w:ind w:left="0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Latham &amp; Watkins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555 Eleventh Street, NW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1000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Washington, D.C. 20004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William O’Neill and Christopher Drewry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u w:val="single" w:color="0463c0"/>
          <w:w w:val="102.57812738418579"/>
          <w:rFonts w:ascii="TimesNewRomanPSMT" w:hAnsi="TimesNewRomanPSMT" w:eastAsia="TimesNewRomanPSMT"/>
          <w:b w:val="0"/>
          <w:i w:val="0"/>
          <w:color w:val="0563C1"/>
          <w:sz w:val="16"/>
        </w:rPr>
        <w:t>William.O'Neill@retiredpartner.lw.com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u w:val="single" w:color="0463c0"/>
          <w:w w:val="102.57812738418579"/>
          <w:rFonts w:ascii="TimesNewRomanPSMT" w:hAnsi="TimesNewRomanPSMT" w:eastAsia="TimesNewRomanPSMT"/>
          <w:b w:val="0"/>
          <w:i w:val="0"/>
          <w:color w:val="0563C1"/>
          <w:sz w:val="16"/>
        </w:rPr>
        <w:t>Christopher.Drewry@lw.com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White Hat Parties:</w:t>
      </w:r>
    </w:p>
    <w:p>
      <w:pPr>
        <w:autoSpaceDN w:val="0"/>
        <w:tabs>
          <w:tab w:pos="1580" w:val="left"/>
        </w:tabs>
        <w:autoSpaceDE w:val="0"/>
        <w:widowControl/>
        <w:spacing w:line="190" w:lineRule="exact" w:before="202" w:after="0"/>
        <w:ind w:left="0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White Hat Capital Partners 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150 East 52nd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21st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David Chanley and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tab/>
      </w:r>
      <w:r>
        <w:rPr>
          <w:u w:val="single" w:color="0463c0"/>
          <w:w w:val="102.57812738418579"/>
          <w:rFonts w:ascii="TimesNewRomanPSMT" w:hAnsi="TimesNewRomanPSMT" w:eastAsia="TimesNewRomanPSMT"/>
          <w:b w:val="0"/>
          <w:i w:val="0"/>
          <w:color w:val="0563C1"/>
          <w:sz w:val="16"/>
        </w:rPr>
        <w:t>DChanley@whitehatcp.com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u w:val="single" w:color="0463c0"/>
          <w:w w:val="102.57812738418579"/>
          <w:rFonts w:ascii="TimesNewRomanPSMT" w:hAnsi="TimesNewRomanPSMT" w:eastAsia="TimesNewRomanPSMT"/>
          <w:b w:val="0"/>
          <w:i w:val="0"/>
          <w:color w:val="0563C1"/>
          <w:sz w:val="16"/>
        </w:rPr>
        <w:t>MQuinlan@whitehatcp.com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tabs>
          <w:tab w:pos="1580" w:val="left"/>
        </w:tabs>
        <w:autoSpaceDE w:val="0"/>
        <w:widowControl/>
        <w:spacing w:line="190" w:lineRule="exact" w:before="202" w:after="0"/>
        <w:ind w:left="0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Olshan Frome Wolosky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1325 Avenue of the Americas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Elizabeth Gonzalez-Sussman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tab/>
      </w:r>
      <w:r>
        <w:rPr>
          <w:u w:val="single" w:color="0463c0"/>
          <w:w w:val="102.57812738418579"/>
          <w:rFonts w:ascii="TimesNewRomanPSMT" w:hAnsi="TimesNewRomanPSMT" w:eastAsia="TimesNewRomanPSMT"/>
          <w:b w:val="0"/>
          <w:i w:val="0"/>
          <w:color w:val="0563C1"/>
          <w:sz w:val="16"/>
        </w:rPr>
        <w:t>egonzalez@olshanlaw.com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earlier terminated as provided in this Agreement, upon the expiration of the Support Period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immediately and automatically terminate in its entirety and no Party shall have any further rights or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 Party shall be released from any breach of this Agreement that occurred prior to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40" w:lineRule="auto" w:before="1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80" w:right="97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Exhibit 10.1</w:t>
      </w:r>
    </w:p>
    <w:p>
      <w:pPr>
        <w:autoSpaceDN w:val="0"/>
        <w:autoSpaceDE w:val="0"/>
        <w:widowControl/>
        <w:spacing w:line="188" w:lineRule="exact" w:before="4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of the parties hereto has executed this Agreement, or caused the same to be executed by its duly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as of the date first above written.</w:t>
      </w:r>
    </w:p>
    <w:p>
      <w:pPr>
        <w:autoSpaceDN w:val="0"/>
        <w:autoSpaceDE w:val="0"/>
        <w:widowControl/>
        <w:spacing w:line="164" w:lineRule="exact" w:before="380" w:after="0"/>
        <w:ind w:left="0" w:right="26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Spōk Holdings, Inc.</w:t>
      </w:r>
    </w:p>
    <w:p>
      <w:pPr>
        <w:autoSpaceDN w:val="0"/>
        <w:tabs>
          <w:tab w:pos="5594" w:val="left"/>
          <w:tab w:pos="5694" w:val="left"/>
        </w:tabs>
        <w:autoSpaceDE w:val="0"/>
        <w:widowControl/>
        <w:spacing w:line="256" w:lineRule="exact" w:before="0" w:after="0"/>
        <w:ind w:left="5506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Vincent D. Kelly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Vincent D. Kelly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President and Chief Executive Officer</w:t>
      </w:r>
    </w:p>
    <w:p>
      <w:pPr>
        <w:autoSpaceDN w:val="0"/>
        <w:autoSpaceDE w:val="0"/>
        <w:widowControl/>
        <w:spacing w:line="240" w:lineRule="auto" w:before="6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Exhibit 10.1</w:t>
      </w:r>
    </w:p>
    <w:p>
      <w:pPr>
        <w:autoSpaceDN w:val="0"/>
        <w:autoSpaceDE w:val="0"/>
        <w:widowControl/>
        <w:spacing w:line="164" w:lineRule="exact" w:before="424" w:after="0"/>
        <w:ind w:left="0" w:right="168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White Hat Strategic Partners LP</w:t>
      </w:r>
    </w:p>
    <w:p>
      <w:pPr>
        <w:autoSpaceDN w:val="0"/>
        <w:autoSpaceDE w:val="0"/>
        <w:widowControl/>
        <w:spacing w:line="164" w:lineRule="exact" w:before="240" w:after="0"/>
        <w:ind w:left="0" w:right="98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White Hat SP GP LLC, its General Partner</w:t>
      </w:r>
    </w:p>
    <w:p>
      <w:pPr>
        <w:autoSpaceDN w:val="0"/>
        <w:tabs>
          <w:tab w:pos="5154" w:val="left"/>
          <w:tab w:pos="5254" w:val="left"/>
        </w:tabs>
        <w:autoSpaceDE w:val="0"/>
        <w:widowControl/>
        <w:spacing w:line="260" w:lineRule="exact" w:before="270" w:after="0"/>
        <w:ind w:left="5066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Member</w:t>
      </w:r>
    </w:p>
    <w:p>
      <w:pPr>
        <w:autoSpaceDN w:val="0"/>
        <w:autoSpaceDE w:val="0"/>
        <w:widowControl/>
        <w:spacing w:line="164" w:lineRule="exact" w:before="354" w:after="0"/>
        <w:ind w:left="0" w:right="24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White Hat SP GP LLC</w:t>
      </w:r>
    </w:p>
    <w:p>
      <w:pPr>
        <w:autoSpaceDN w:val="0"/>
        <w:tabs>
          <w:tab w:pos="5154" w:val="left"/>
          <w:tab w:pos="5254" w:val="left"/>
        </w:tabs>
        <w:autoSpaceDE w:val="0"/>
        <w:widowControl/>
        <w:spacing w:line="260" w:lineRule="exact" w:before="42" w:after="0"/>
        <w:ind w:left="5066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Member</w:t>
      </w:r>
    </w:p>
    <w:p>
      <w:pPr>
        <w:autoSpaceDN w:val="0"/>
        <w:autoSpaceDE w:val="0"/>
        <w:widowControl/>
        <w:spacing w:line="164" w:lineRule="exact" w:before="354" w:after="0"/>
        <w:ind w:left="0" w:right="184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White Hat Capital Partners LP</w:t>
      </w:r>
    </w:p>
    <w:p>
      <w:pPr>
        <w:autoSpaceDN w:val="0"/>
        <w:tabs>
          <w:tab w:pos="5154" w:val="left"/>
          <w:tab w:pos="5254" w:val="left"/>
        </w:tabs>
        <w:autoSpaceDE w:val="0"/>
        <w:widowControl/>
        <w:spacing w:line="258" w:lineRule="exact" w:before="44" w:after="0"/>
        <w:ind w:left="5066" w:right="273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Partner</w:t>
      </w:r>
    </w:p>
    <w:p>
      <w:pPr>
        <w:autoSpaceDN w:val="0"/>
        <w:autoSpaceDE w:val="0"/>
        <w:widowControl/>
        <w:spacing w:line="164" w:lineRule="exact" w:before="354" w:after="0"/>
        <w:ind w:left="0" w:right="184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White Hat Capital Partners LP</w:t>
      </w:r>
    </w:p>
    <w:p>
      <w:pPr>
        <w:autoSpaceDN w:val="0"/>
        <w:tabs>
          <w:tab w:pos="5154" w:val="left"/>
          <w:tab w:pos="5254" w:val="left"/>
        </w:tabs>
        <w:autoSpaceDE w:val="0"/>
        <w:widowControl/>
        <w:spacing w:line="258" w:lineRule="exact" w:before="46" w:after="0"/>
        <w:ind w:left="5066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Mark Quinlan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Member</w:t>
      </w:r>
    </w:p>
    <w:sectPr w:rsidR="00FC693F" w:rsidRPr="0006063C" w:rsidSect="00034616">
      <w:pgSz w:w="11900" w:h="16840"/>
      <w:pgMar w:top="580" w:right="98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