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10(xiv)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3329" cy="175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329" cy="17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2" w:lineRule="exact" w:before="32" w:after="0"/>
        <w:ind w:left="0" w:right="0" w:firstLine="0"/>
        <w:jc w:val="left"/>
      </w:pPr>
      <w:r>
        <w:rPr>
          <w:w w:val="101.25579833984375"/>
          <w:rFonts w:ascii="TimesNewRomanPS" w:hAnsi="TimesNewRomanPS" w:eastAsia="TimesNewRomanPS"/>
          <w:b/>
          <w:i w:val="0"/>
          <w:color w:val="000000"/>
          <w:sz w:val="23"/>
        </w:rPr>
        <w:t>MASTER SERVICES AGREEMENT</w:t>
      </w:r>
    </w:p>
    <w:p>
      <w:pPr>
        <w:autoSpaceDN w:val="0"/>
        <w:autoSpaceDE w:val="0"/>
        <w:widowControl/>
        <w:spacing w:line="158" w:lineRule="exact" w:before="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96" w:lineRule="exact" w:before="48" w:after="0"/>
        <w:ind w:left="0" w:right="0" w:firstLine="0"/>
        <w:jc w:val="left"/>
      </w:pPr>
      <w:r>
        <w:rPr>
          <w:w w:val="98.05824279785156"/>
          <w:rFonts w:ascii="TimesNewRomanPS" w:hAnsi="TimesNewRomanPS" w:eastAsia="TimesNewRomanPS"/>
          <w:b/>
          <w:i w:val="0"/>
          <w:color w:val="000000"/>
          <w:sz w:val="20"/>
        </w:rPr>
        <w:t>RadialSpark, LLC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96" w:lineRule="exact" w:before="46" w:after="0"/>
        <w:ind w:left="0" w:right="0" w:firstLine="0"/>
        <w:jc w:val="left"/>
      </w:pPr>
      <w:r>
        <w:rPr>
          <w:w w:val="98.05824279785156"/>
          <w:rFonts w:ascii="TimesNewRomanPS" w:hAnsi="TimesNewRomanPS" w:eastAsia="TimesNewRomanPS"/>
          <w:b/>
          <w:i w:val="0"/>
          <w:color w:val="000000"/>
          <w:sz w:val="20"/>
        </w:rPr>
        <w:t>Clear Capital</w:t>
      </w:r>
    </w:p>
    <w:p>
      <w:pPr>
        <w:autoSpaceDN w:val="0"/>
        <w:autoSpaceDE w:val="0"/>
        <w:widowControl/>
        <w:spacing w:line="160" w:lineRule="exact" w:before="138" w:after="0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 of 10</w:t>
      </w:r>
    </w:p>
    <w:p>
      <w:pPr>
        <w:sectPr>
          <w:pgSz w:w="11900" w:h="16840"/>
          <w:pgMar w:top="512" w:right="880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MASTER SERVICES AGREEMENT (“Agreement”), dated as of 09/24/2018 (the “Effective Date”), is between Clear Capital (the "Company")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RadialSpark, LLC (the "Contractor").</w:t>
      </w:r>
    </w:p>
    <w:p>
      <w:pPr>
        <w:autoSpaceDN w:val="0"/>
        <w:autoSpaceDE w:val="0"/>
        <w:widowControl/>
        <w:spacing w:line="196" w:lineRule="exact" w:before="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Company desires from time to time to retain Contractor to perform certain management consulting services for Company;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Contractor desires to perform such management consulting services for Company;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foregoing premises, and the mutual covenants and agreements set forth herein, the parties hereto agree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 PURPOSE OF ENGAGEMENT.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Company agrees to retain Contractor to perform the consulting services for Company, on a task by task basis (the "Services"), and Contractor agrees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furnish the Services on the terms and subject to the conditions set forth in this Agreement. During the term of this Agreement, Company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will develop and agree upon statements of work defining the Services and work product to be provided by Contractor,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compensation, additional terms and conditions, if any, applicable to a particular engagement and such other details as the parties deem appropriate (each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“Statement of Work”). A Statement of Work may provide specifications for deliverables to be provided thereunder (the "Specifications"). Statements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that are from time to time agreed upon shall reference this Agreement, and shall be executed by the parties and attached hereto and shall form a part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hereof. In all instances of a conflict, between the provisions of this Agreement and the specific provisions set forth in a Statement of Work,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shall control.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Contractor shall provide sufficient qualified personnel to perform the Services in a professional and workmanlike manner in accordance with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standards. A Statement of Work may designate certain individuals as "Key Personnel" for an engagement, and the parties subsequently may agree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that additional individuals are Key Personnel for such engagement. If there are Key Personnel for an engagement, Contractor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through those personnel and such additional personnel of Contractor as Contractor may from time to time determine to be required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Services. Company shall have the right to interview and approve such additional personnel at Company’s request. If one or more Key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Personnel terminate their employment with Contractor or otherwise become</w:t>
      </w:r>
    </w:p>
    <w:p>
      <w:pPr>
        <w:autoSpaceDN w:val="0"/>
        <w:autoSpaceDE w:val="0"/>
        <w:widowControl/>
        <w:spacing w:line="160" w:lineRule="exact" w:before="134" w:after="0"/>
        <w:ind w:left="0" w:right="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 of 10</w:t>
      </w:r>
    </w:p>
    <w:p>
      <w:pPr>
        <w:sectPr>
          <w:pgSz w:w="11900" w:h="16840"/>
          <w:pgMar w:top="462" w:right="904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unavailable to work on an engagement for reasons beyond Contractor's reasonable control, Contractor may provide the Services through other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comparable training and experience. If Company becomes dissatisfied with any of Contractor's personnel providing the Services, Company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Contractor of the details of its dissatisfaction, and the parties shall cooperate to remedy the problem as soon as possible. If Company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requests, Contractor shall reassign the individual who is the subject of Company's dissatisfaction and replace that person with other personnel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accordance with this Agreement.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Unless otherwise provided in a Statement of Work, Contractor shall provide the Services at Contractor’s facility. Contractor shall provide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consistent with the Services to be provided under the Statement of Work. When services are provided at a Company facility, Company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workspace and other facilities such as computer support consistent with the requirements of the Services to be provided under the Statement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Work. Contractor shall cause its personnel at Company's facility to comply with Company's (i) safety and security rules and other rules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working in the facility, and (ii) Company's policies concerning access to and security of any Company computer system to which Contractor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access; provided, that Company has provided Contractor with copies of such rules and policies or has advised Contractor of the existence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rules and policies.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Company may request changes that affect the scope or duration of the Services relating to any Statement of Work, including changes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changes in the deliverables to be delivered. Company acknowledges that any change in Specifications may result in changes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estimated fees and estimated timeline for creation of deliverables. Company also may request a change in the Schedule without changing the scope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relating to the applicable Statement of Work. In either case, the parties shall negotiate in good faith a reasonable and equitable adjustment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fees, Schedule and Specifications. Contractor shall continue work pursuant to the existing Statement of Work, and shall not be bound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change requested by Company, until such change has been accepted in writing by Contractor.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obligations of Company in connection with a particular engagement shall be set forth in the applicable Statement of Work. Company agrees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such obligations in accordance with, and subject to, such Statement of Work. Company acknowledges that when a Statement of Work provides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Company's personnel are to work with Contractor's personnel in connection with an engagement, Company's failure to assign Company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having skills commensurate with their role with respect to such engagement could adversely affect Contractor's ability to provide the Services.</w:t>
      </w:r>
    </w:p>
    <w:p>
      <w:pPr>
        <w:autoSpaceDN w:val="0"/>
        <w:autoSpaceDE w:val="0"/>
        <w:widowControl/>
        <w:spacing w:line="160" w:lineRule="exact" w:before="134" w:after="0"/>
        <w:ind w:left="0" w:right="1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 of 10</w:t>
      </w:r>
    </w:p>
    <w:p>
      <w:pPr>
        <w:sectPr>
          <w:pgSz w:w="11900" w:h="16840"/>
          <w:pgMar w:top="462" w:right="892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To the extent Contractor provides any third party materials and products Contractor acknowledges that it shall be solely responsible for ensuring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functionality and specifications of such third party materials and products used in performing Services under this Agreement.</w:t>
      </w:r>
    </w:p>
    <w:p>
      <w:pPr>
        <w:autoSpaceDN w:val="0"/>
        <w:autoSpaceDE w:val="0"/>
        <w:widowControl/>
        <w:spacing w:line="196" w:lineRule="exact" w:before="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TERM. The term of this Agreement shall begin on the date hereof and shall continue until terminated by either party pursuant to Paragraph 6 hereof.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3. CONTRACTOR'S COMPENSATION.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of this Agreement, Company agrees to compensate Contractor as set forth in each Statement of Work. Contractor will be compensated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time and materials. In addition, Company shall reimburse Contractor its actual out-of-pocket expenses as reasonably incurred by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its performance of the Services as negotiated in each Statement of Work.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Contractor shall bill Company as set forth in the relevant Statement of Work. Each invoice submitted by Contractor will provide supporting detail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invoiced, including, to the extent applicable to a particular engagement, the dates of Services and hours worked at the applicable rate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Work. Invoices shall also include receipts or other supporting detail concerning related expenses within the billing cycle.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reserves the right to change rates with 30 days notice to Company.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All fees, charges and other amounts payable to Contractor hereunder do not include any sales, use, excise, value added or other applicable taxes,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tariffs or duties, payment of which shall be the sole responsibility of Company (excluding any applicable taxes based on Contractor's net income or taxes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the independent contractor relationship between Contractor and its personnel). In the event that such taxes, tariffs or duties are assessed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Contractor, Company shall reimburse Contractor for any such amounts paid by Contractor or provide Contractor with valid tax exemption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certificates with respect thereto.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4. OWNERSHIP OF MATERIALS RELATED TO SERVICES; ACCEPTANCE.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agree that all drawings, documents, designs, models, inventions, computer programs, computer systems, data, computer documentation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tangible materials authored or prepared by Contractor for Company as the work product required by a Statement of Work (collectively,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"Works"), are the property of Company to the extent that such Works were created by Contractor for Company over a time period for which Company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been invoiced and said invoice has been paid. Contractor agrees to render, at Company’s sole cost</w:t>
      </w:r>
    </w:p>
    <w:p>
      <w:pPr>
        <w:autoSpaceDN w:val="0"/>
        <w:autoSpaceDE w:val="0"/>
        <w:widowControl/>
        <w:spacing w:line="160" w:lineRule="exact" w:before="134" w:after="0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 of 10</w:t>
      </w:r>
    </w:p>
    <w:p>
      <w:pPr>
        <w:sectPr>
          <w:pgSz w:w="11900" w:h="16840"/>
          <w:pgMar w:top="462" w:right="880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expense, all reasonably required assistance to Company to protect the rights herein above described, including executing other documents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requested by Company.</w:t>
      </w:r>
    </w:p>
    <w:p>
      <w:pPr>
        <w:autoSpaceDN w:val="0"/>
        <w:autoSpaceDE w:val="0"/>
        <w:widowControl/>
        <w:spacing w:line="196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Company acknowledges that Contractor provides consulting and development services to other clients, and agrees that nothing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or construed to prevent Contractor from delivering on such business. In particular, Company agrees that, notwithstanding anything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 set forth herein: (i) as part of Contractor’s provision of the Services hereunder, Contractor may utilize its own proprietary works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authorship, that have not been created specifically for Company, including without limitation software, methodologies, tools, specifications, drawings,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sketches, models, samples, records and documentation, as well as copyrights, trademarks, servicemarks, ideas, concepts, know-how, techniques,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or data, which have been originated, developed or purchased by Contractor or by third parties under contract to Contractor, and,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Contractor’s Information and Contractor’s administrative communications and records relating to the Services shall not be deemed to be Works and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remain the sole and exclusive property of Contractor and Company shall not resell or make use of said property in any other manner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software Company receives under this Agreement.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To the extent that Contractor incorporates any of Contractor’s Information into the Works, Contractor hereby grants to Company a royalty-free,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perpetual license (including the right to grant a sublicense) to use, copy, modify, create, derivative version, publicly perform and publicly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display such Contractor’s Information in connection with Company’s business operations.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Consultant agrees that after Company pays Contractor in full, or after the termination of this agreement, Company may make any changes or additions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software Consultant created for Company under this Agreement, which Company in Company’s discretion may consider necessary, and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engage others to make any such changes or additions, without further payments to Consultant.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 CONTRACTOR'S REPRESENTATIONS AND WARRANTIES AND WARRANTY DISCLAIMER.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Contractor represents and warrants to Company that Contractor's performance of the Services called for by this Agreement, to its knowledge,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and shall not violate any applicable law, rule, or regulation;</w:t>
      </w:r>
    </w:p>
    <w:p>
      <w:pPr>
        <w:autoSpaceDN w:val="0"/>
        <w:autoSpaceDE w:val="0"/>
        <w:widowControl/>
        <w:spacing w:line="160" w:lineRule="exact" w:before="134" w:after="0"/>
        <w:ind w:left="0" w:right="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 of 10</w:t>
      </w:r>
    </w:p>
    <w:p>
      <w:pPr>
        <w:sectPr>
          <w:pgSz w:w="11900" w:h="16840"/>
          <w:pgMar w:top="462" w:right="904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Contractor represents and warrants to Company that Contractor has full authority and sufficient rights, except for rights respecting programs,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materials provided by Company or identified by Contractor as furnished to Company by third-party vendors, to grant and convey the rights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Company under Paragraph 4 hereof;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Contractor represents and warrants that the Works provided hereunder, including any Contractor Information and any third party products do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infringe any trade secret, trademark, copyright, patent or other proprietary right of any other third party.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Contractor covenants that it will not offer or pay any bribes (including any offer to provide improper gifts or entertainment) to secure or retain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advantage (for the benefit of Contractor or for the benefit of Company) at any time during the term of this agreement. Specifically,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it will not offer or pay any bribes to any person (including, in particular, to any government official) in connection with any aspect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services under this agreement. Contractor also covenants that at all times during the term of this agreement that it will maintain internal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procedures that are reasonably designed to ensure that Contractor’s employees and representatives will not offer to pay or pay bribes (or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or provide improper gifts or entertainment) to any person in connection with Contractor’s performance under this agreement. Contractor also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that it will provide suitable training to its employees and representatives during the term of this agreement about Contractor’s anti-corruption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procedures. Contractor represents and warrants to Company that Contractor has not offered or paid any bribes (or offered or provided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gifts and entertainment) to secure business under this agreement or otherwise in connection with the performance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Notwithstanding any other provision of this agreement, if Contractor offers or pays a bribe or provides improper gifts or entertainment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 or to any other person in connection with the performance of Contractor’s obligations under this agreement, Company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elect to terminate this agreement effective immediately upon providing to Contractor written notice of such termination, in which case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shall have no obligation to pay any fees or other consideration to Contractor under this agreement or otherwise.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EXPRESS WARRANTIES IN THIS AGREEMENT SHALL BE IN LIEU OF ALL OTHER WARRANTIES, EXPRESS OR IMPLIED,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IMPLIED WARRANTIES OF MERCHANTABILITY, FITNESS FOR A PARTICULAR PURPOSE.</w:t>
      </w:r>
    </w:p>
    <w:p>
      <w:pPr>
        <w:autoSpaceDN w:val="0"/>
        <w:autoSpaceDE w:val="0"/>
        <w:widowControl/>
        <w:spacing w:line="160" w:lineRule="exact" w:before="134" w:after="0"/>
        <w:ind w:left="0" w:right="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 of 10</w:t>
      </w:r>
    </w:p>
    <w:p>
      <w:pPr>
        <w:sectPr>
          <w:pgSz w:w="11900" w:h="16840"/>
          <w:pgMar w:top="462" w:right="942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6. TERMINATION.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At any time that there is no uncompleted Statement of Work outstanding, either party may terminate this Agreement for any or no reason upon fifteen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(15) days advance notice to the other.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addition, either party may terminate this Agreement or any outstanding Statement of Work, upon fifteen (15) days written notice to the other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such other party breaches a material term of this Agreement or any Statement of Work and such breach remains uncured at the end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fifteen (15) day period. Upon any such termination, Contractor will be paid all fees and expenses that have been incurred or earned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Services through the effective date of such termination. Contractor shall provide to Company, and hereby assigns to Company,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right, title and interest to any Works in progress.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7. LIMITATIONS OF LIABILITY; INDEMNIFICATION OF CONTRACTOR.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WITH RESPECT TO CONTRACTOR’S OBLIGATIONS PURSUANT TO PARAGRAPH 9 HEREOF, CONTRACTOR'S MAXIMUM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TO COMPANY ARISING FOR ANY REASON RELATING TO CONTRACTOR'S PERFORMANCE OF SERVICES UNDER A STATEMENT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 SHALL BE LIMITED TO THE AMOUNT OF FEES PAID TO CONTRACTOR FOR THE PERFORMANCE OF SUCH SERVICES. COMPANYS’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LIABILITY TO CONTRACTOR FOR ANY REASON ARISING OUT OF THIS AGREEMENT SHALL BE LIMITED TO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FEES PAID TO CONTRACTOR.</w:t>
      </w:r>
    </w:p>
    <w:p>
      <w:pPr>
        <w:autoSpaceDN w:val="0"/>
        <w:autoSpaceDE w:val="0"/>
        <w:widowControl/>
        <w:spacing w:line="196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NEITHER PARTY SHALL HAVE ANY LIABILITY TO THE OTHER PARTY FOR ANY LOST PROFITS OR SPECIAL, INCIDENTAL, INDIRECT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CONSEQUENTIAL DAMAGES, EVEN IF SUCH PARTY HAS BEEN ADVISED OF THE POSSIBILITY OF SUCH DAMAGES.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ANY SUIT ARISING FROM THIS AGREEMENT EACH PARTY SHALL BE RESPONSIBLE FOR ITS OWN ATTORNEYS FEES. COMPANY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CONTRACTOR HEREBY WAIVE ANY CLAIM TO AWARD OF ATTORNEYS FEES IN SUCH A SUIT.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CONFIDENTIAL INFORMATION. “Confidential Information” means all documents, software, reports, data, records, forms, conversations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obtained by Contractor from Company in the course of performing any Services (including, but not limited to, Company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information). Notwithstanding the foregoing, Confidential Information does not include information which: (i) is or becomes publicly known through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wrongful act of Contractor; or (ii) is independently developed by Contractor without benefit of Company’s</w:t>
      </w:r>
    </w:p>
    <w:p>
      <w:pPr>
        <w:autoSpaceDN w:val="0"/>
        <w:autoSpaceDE w:val="0"/>
        <w:widowControl/>
        <w:spacing w:line="160" w:lineRule="exact" w:before="134" w:after="0"/>
        <w:ind w:left="0" w:right="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7 of 10</w:t>
      </w:r>
    </w:p>
    <w:p>
      <w:pPr>
        <w:sectPr>
          <w:pgSz w:w="11900" w:h="16840"/>
          <w:pgMar w:top="462" w:right="916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Contractor shall not use or disclose to any person, firm or entity any Confidential Information without Company’s express,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permission; provided, however, that notwithstanding the foregoing, Contractor may disclose Confidential Information to the extent that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required to be disclosed pursuant to a statutory or regulatory provision or court order.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INDEPENDENT CONTRACTOR. Contractor is performing the Services as an independent contractor and not as an employee of Company and none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Contractor’s personnel shall be entitled to receive any compensation, benefits or other incidents of employment from Company. Subject to Section 3(c),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shall be responsible for all taxes and other expenses arising from the employment or independent contractor relationship between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personnel and the rendition of Services hereunder by such personnel to Company. Nothing in this Agreement shall be deemed to constitute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or joint venture between Company and Contractor, nor shall anything in this Agreement be deemed to constitute Contractor or Company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of the other. Neither Contractor nor Company shall be or become liable or bound by any representation, act or omission whatsoever of the other.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NONASSIGNABILITY. Neither party shall assign, transfer, or subcontract this Agreement or any of its obligations hereunder without the other party's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express, prior written consent, which will not be unreasonably withheld.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SEVERABILITY; GOVERNING LAW. In the event that any term or provision of this Agreement shall be held to be invalid, void or unenforceable,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remainder of this Agreement shall not be affected, impaired or invalidated, and each such term and provision of this Agreement shall be valid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to the fullest extent permitted by law. This Agreement shall be governed by and construed in accordance with the laws of the Arizona,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without regard to the conflict of laws provisions thereof.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of termination under either section 6(a) or 6(b) of this agreement, Contractor shall be paid all fees and expenses that have been incurred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earned in connection with the performance of the Services through the effective date of such termination. Upon receipt of final payment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to Company, and will assigns to Company, all right, title and interest to any Works in progress.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INTEGRATION. This Agreement, including The Mutual Non-Disclosure Agreement and, any Statements of Work entered into pursuant hereto,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the entire agreement of the parties hereto with respect to its subject matter and supersedes all prior and contemporaneous representations,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proposals, discussions, and communications, whether oral or in writing. This</w:t>
      </w:r>
    </w:p>
    <w:p>
      <w:pPr>
        <w:autoSpaceDN w:val="0"/>
        <w:autoSpaceDE w:val="0"/>
        <w:widowControl/>
        <w:spacing w:line="160" w:lineRule="exact" w:before="134" w:after="0"/>
        <w:ind w:left="0" w:right="1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8 of 10</w:t>
      </w:r>
    </w:p>
    <w:p>
      <w:pPr>
        <w:sectPr>
          <w:pgSz w:w="11900" w:h="16840"/>
          <w:pgMar w:top="462" w:right="892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modified only in writing and shall be enforceable in accordance with its terms when signed by each of the parties hereto.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NON-SOLICITATION OF EMPLOYEES. Neither party shall, during the term of this Agreement and for one (1) year after its termination, solicit for hire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employee, consultant or otherwise any of the other party's personnel who have had direct involvement with the Services, without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party's express written consent, which shall not be unreasonably withheld.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INSURANCE. Throughout the term of this Agreement, Contractor shall maintain workers compensation insurance in the amount required by statute,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comprehensive general liability insurance with coverage of at least one million dollars ($1,000,000) and professional errors and omissions insurance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bodily injury, property damage or other losses with coverage of at least one million dollars ($1,000,000), in connection with the provision of Services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pursuant to the terms of this Agreement. At Company's request, Contractor shall provide Company with certificates or other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insurance or self-insurance evidencing the above coverage and shall provide Company with prompt written notice of any material change.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Force Majeure. Except for payment obligations hereunder, nonperformance by either party shall be excused to the extent that performance is rendered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impossible by strike, acts of God, governmental acts or restrictions, failure of suppliers, or any other reason where failure to perform is beyond the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nonperforming party.</w:t>
      </w:r>
    </w:p>
    <w:p>
      <w:pPr>
        <w:autoSpaceDN w:val="0"/>
        <w:autoSpaceDE w:val="0"/>
        <w:widowControl/>
        <w:spacing w:line="196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Counterparts. This Agreement may be signed in any number of counterparts, each of which shall be an original, with the same effect as if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signatures thereto and hereto were upon the same instrument.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Entire Agreement. This Agreement constitutes the complete and exclusive agreement between Company and Consultant concerning the work on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project, and it supersedes all other prior agreements, proposals, and representations, whether stated orally or in writing.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18. Severability. If any provision of this Agreement is invalid, illegal, or unenforceable, the remainder of this Agreement will remain in full force and effect.</w:t>
      </w: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Arbitration. Except as otherwise specified below, all actions, disputes, claims and controversies under common law, statutory law or in equity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type or nature whatsoever, whether arising before or after the date of this Agreement, and whether directly or indirectly</w:t>
      </w:r>
    </w:p>
    <w:p>
      <w:pPr>
        <w:autoSpaceDN w:val="0"/>
        <w:autoSpaceDE w:val="0"/>
        <w:widowControl/>
        <w:spacing w:line="160" w:lineRule="exact" w:before="136" w:after="0"/>
        <w:ind w:left="0" w:right="1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9 of 10</w:t>
      </w:r>
    </w:p>
    <w:p>
      <w:pPr>
        <w:sectPr>
          <w:pgSz w:w="11900" w:h="16840"/>
          <w:pgMar w:top="462" w:right="892" w:bottom="1440" w:left="9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to: (a) this Agreement and/or any amendments and addenda hereto, or the breach, invalidity or termination hereof; (b) any previous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agreement between the parties; and/or (c) any other relationship, transaction or dealing between the parties (collectively the “Disputes”),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subject to and resolved by binding arbitration pursuant to the Arbitration Rules of U.S. Arbitration &amp; Mediation, (www.usam.com). Any award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rendered by the arbitrator may be confirmed as a judgment or order in any state or federal court of competent jurisdiction, which includes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federal judicial district of the residence of the party against whom such award or order was entered.</w:t>
      </w:r>
    </w:p>
    <w:p>
      <w:pPr>
        <w:autoSpaceDN w:val="0"/>
        <w:autoSpaceDE w:val="0"/>
        <w:widowControl/>
        <w:spacing w:line="160" w:lineRule="exact" w:before="36" w:after="1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Agreement to be executed by their duly authorized representatives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1"/>
        <w:gridCol w:w="5011"/>
      </w:tblGrid>
      <w:tr>
        <w:trPr>
          <w:trHeight w:hRule="exact" w:val="194"/>
        </w:trPr>
        <w:tc>
          <w:tcPr>
            <w:tcW w:type="dxa" w:w="67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Michael Rockford</w:t>
            </w:r>
          </w:p>
        </w:tc>
        <w:tc>
          <w:tcPr>
            <w:tcW w:type="dxa" w:w="329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Marcum</w:t>
            </w:r>
          </w:p>
        </w:tc>
      </w:tr>
      <w:tr>
        <w:trPr>
          <w:trHeight w:hRule="exact" w:val="252"/>
        </w:trPr>
        <w:tc>
          <w:tcPr>
            <w:tcW w:type="dxa" w:w="670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RadialSpark, LLC</w:t>
            </w:r>
          </w:p>
        </w:tc>
        <w:tc>
          <w:tcPr>
            <w:tcW w:type="dxa" w:w="329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Clear Capital</w:t>
            </w:r>
          </w:p>
        </w:tc>
      </w:tr>
    </w:tbl>
    <w:p>
      <w:pPr>
        <w:autoSpaceDN w:val="0"/>
        <w:autoSpaceDE w:val="0"/>
        <w:widowControl/>
        <w:spacing w:line="160" w:lineRule="exact" w:before="74" w:after="0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10 of 10</w:t>
      </w:r>
    </w:p>
    <w:sectPr w:rsidR="00FC693F" w:rsidRPr="0006063C" w:rsidSect="00034616">
      <w:pgSz w:w="11900" w:h="16840"/>
      <w:pgMar w:top="462" w:right="880" w:bottom="1440" w:left="9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