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 any banner, hypertext or other link from the Women.com Site to any web site containing content promoting or advertising tobacco, liquor, controlled substances, gambling, firearms or sexually explicit, offensive or degrading material. In addition to the foregoing and the content guidelines set forth in</w:t>
      </w:r>
      <w:r>
        <w:rPr>
          <w:color w:val="FF0000"/>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 of the foregoing contained therein (collectively, "Women.com Content") is and shall remain the sole and exclusive property of eDiets and not Women.com or its third party licensors, and Women.com acquires no right, title or interest therein or thereto.</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 Content. Nothing in this Agreement shall effect a transfer of ownership in the eDiets Content from eDiets to Women.com, and eDiets shall retain all rights of copyright, trademark or other intellectual property rights in such eDiets Content that it possessed prior to providing such eDiets Content to Women.com, subject only to the licenses expressly granted by eDiets to Women.com by this Agreement. eDiets retains all rights with respect to eDiets</w:t>
      </w:r>
      <w:r>
        <w:rPr>
          <w:sz w:val="12"/>
        </w:rPr>
        <w:t xml:space="preserve"> </w:t>
      </w:r>
      <w:r>
        <w:rPr>
          <w:color w:val="FF0000"/>
          <w:sz w:val="12"/>
        </w:rPr>
        <w:t>Only the eDiets Marketing Committee shall have the right to review and approve or disapprove eDiets' use of the Women.com Marks.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 of the foregoing contained therein (collectively, "Women.com Content") is and shall remain the sole and exclusive property of Women.com or its third party licensors and eDiets acquires no right, title or interest therein or thereto.</w:t>
      </w:r>
      <w:r>
        <w:rPr>
          <w:color w:val="FF0000"/>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 of the foregoing contained therein (collectively, "Women.com Content") is and shall remain the sole and exclusive property of eDiets and not Women.com or its third party licensors, and Women.com acquires no right, title or interest therein or 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Women.com Marks. Women.com hereby grants eDiets a non-exclusive,</w:t>
      </w:r>
      <w:r>
        <w:rPr>
          <w:spacing w:val="40"/>
          <w:sz w:val="12"/>
        </w:rPr>
        <w:t> </w:t>
      </w:r>
      <w:r>
        <w:rPr>
          <w:sz w:val="12"/>
        </w:rPr>
        <w:t>non-transferable, royalty-free worldwide right and license without the right to sublicense</w:t>
      </w:r>
      <w:r>
        <w:rPr>
          <w:spacing w:val="15"/>
          <w:sz w:val="12"/>
        </w:rPr>
        <w:t> </w:t>
      </w:r>
      <w:r>
        <w:rPr>
          <w:sz w:val="12"/>
        </w:rPr>
        <w:t>to</w:t>
      </w:r>
      <w:r>
        <w:rPr>
          <w:spacing w:val="15"/>
          <w:sz w:val="12"/>
        </w:rPr>
        <w:t> </w:t>
      </w:r>
      <w:r>
        <w:rPr>
          <w:sz w:val="12"/>
        </w:rPr>
        <w:t>use</w:t>
      </w:r>
      <w:r>
        <w:rPr>
          <w:spacing w:val="15"/>
          <w:sz w:val="12"/>
        </w:rPr>
        <w:t> </w:t>
      </w:r>
      <w:r>
        <w:rPr>
          <w:sz w:val="12"/>
        </w:rPr>
        <w:t>the</w:t>
      </w:r>
      <w:r>
        <w:rPr>
          <w:spacing w:val="15"/>
          <w:sz w:val="12"/>
        </w:rPr>
        <w:t> </w:t>
      </w:r>
      <w:r>
        <w:rPr>
          <w:sz w:val="12"/>
        </w:rPr>
        <w:t>Women.com</w:t>
      </w:r>
      <w:r>
        <w:rPr>
          <w:spacing w:val="15"/>
          <w:sz w:val="12"/>
        </w:rPr>
        <w:t> </w:t>
      </w:r>
      <w:r>
        <w:rPr>
          <w:sz w:val="12"/>
        </w:rPr>
        <w:t>Marks</w:t>
      </w:r>
      <w:r>
        <w:rPr>
          <w:spacing w:val="15"/>
          <w:sz w:val="12"/>
        </w:rPr>
        <w:t> </w:t>
      </w:r>
      <w:r>
        <w:rPr>
          <w:sz w:val="12"/>
        </w:rPr>
        <w:t>during</w:t>
      </w:r>
      <w:r>
        <w:rPr>
          <w:spacing w:val="15"/>
          <w:sz w:val="12"/>
        </w:rPr>
        <w:t> </w:t>
      </w:r>
      <w:r>
        <w:rPr>
          <w:sz w:val="12"/>
        </w:rPr>
        <w:t>the</w:t>
      </w:r>
      <w:r>
        <w:rPr>
          <w:spacing w:val="15"/>
          <w:sz w:val="12"/>
        </w:rPr>
        <w:t> </w:t>
      </w:r>
      <w:r>
        <w:rPr>
          <w:sz w:val="12"/>
        </w:rPr>
        <w:t>Term</w:t>
      </w:r>
      <w:r>
        <w:rPr>
          <w:spacing w:val="15"/>
          <w:sz w:val="12"/>
        </w:rPr>
        <w:t> </w:t>
      </w:r>
      <w:r>
        <w:rPr>
          <w:sz w:val="12"/>
        </w:rPr>
        <w:t>solely</w:t>
      </w:r>
      <w:r>
        <w:rPr>
          <w:spacing w:val="15"/>
          <w:sz w:val="12"/>
        </w:rPr>
        <w:t> </w:t>
      </w:r>
      <w:r>
        <w:rPr>
          <w:sz w:val="12"/>
        </w:rPr>
        <w:t>in</w:t>
      </w:r>
      <w:r>
        <w:rPr>
          <w:spacing w:val="15"/>
          <w:sz w:val="12"/>
        </w:rPr>
        <w:t> </w:t>
      </w:r>
      <w:r>
        <w:rPr>
          <w:sz w:val="12"/>
        </w:rPr>
        <w:t>connection</w:t>
      </w:r>
      <w:r>
        <w:rPr>
          <w:spacing w:val="15"/>
          <w:sz w:val="12"/>
        </w:rPr>
        <w:t> </w:t>
      </w:r>
      <w:r>
        <w:rPr>
          <w:sz w:val="12"/>
        </w:rPr>
        <w:t>with</w:t>
      </w:r>
    </w:p>
    <w:p>
      <w:pPr>
        <w:pStyle w:val="BodyText"/>
        <w:spacing w:line="264" w:lineRule="auto"/>
        <w:ind w:left="124" w:right="4239"/>
      </w:pPr>
      <w:r>
        <w:rPr/>
        <w:t>(i) the fulfillment of eDiets' obligations under this Agreement, and (ii) in advertising and marketing collateral related to this Agreement. eDiets acknowledges and agrees that Women.com owns and otherwise has the exclusive right to use and to license the Women.com Marks and that Women.com, in each instance, shall have the right to review and approve or disapprove eDiets' use of the Women.com Marks, such approval not to be unnecessarily withheld or delayed.</w:t>
      </w:r>
      <w:r>
        <w:rPr>
          <w:color w:val="FF0000"/>
        </w:rPr>
        <w:t>Only the eDiets Marketing Committee shall have the right to review and approve or disapprove eDiets' use of the Women.com Marks.</w:t>
      </w:r>
      <w:r>
        <w:rPr/>
        <w:t xml:space="preserve"> All uses of</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Confidential Information shall be returned in accordance with the terms of Section 11;</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The parties acknowledge that, in the course of performing duties under</w:t>
      </w:r>
      <w:r>
        <w:rPr>
          <w:spacing w:val="25"/>
          <w:sz w:val="12"/>
        </w:rPr>
        <w:t> </w:t>
      </w:r>
      <w:r>
        <w:rPr>
          <w:sz w:val="12"/>
        </w:rPr>
        <w:t>this</w:t>
      </w:r>
      <w:r>
        <w:rPr>
          <w:spacing w:val="25"/>
          <w:sz w:val="12"/>
        </w:rPr>
        <w:t> </w:t>
      </w:r>
      <w:r>
        <w:rPr>
          <w:sz w:val="12"/>
        </w:rPr>
        <w:t>Agreement,</w:t>
      </w:r>
      <w:r>
        <w:rPr>
          <w:spacing w:val="25"/>
          <w:sz w:val="12"/>
        </w:rPr>
        <w:t> </w:t>
      </w:r>
      <w:r>
        <w:rPr>
          <w:sz w:val="12"/>
        </w:rPr>
        <w:t>each</w:t>
      </w:r>
      <w:r>
        <w:rPr>
          <w:spacing w:val="25"/>
          <w:sz w:val="12"/>
        </w:rPr>
        <w:t> </w:t>
      </w:r>
      <w:r>
        <w:rPr>
          <w:sz w:val="12"/>
        </w:rPr>
        <w:t>party</w:t>
      </w:r>
      <w:r>
        <w:rPr>
          <w:spacing w:val="25"/>
          <w:sz w:val="12"/>
        </w:rPr>
        <w:t> </w:t>
      </w:r>
      <w:r>
        <w:rPr>
          <w:sz w:val="12"/>
        </w:rPr>
        <w:t>may</w:t>
      </w:r>
      <w:r>
        <w:rPr>
          <w:spacing w:val="25"/>
          <w:sz w:val="12"/>
        </w:rPr>
        <w:t> </w:t>
      </w:r>
      <w:r>
        <w:rPr>
          <w:sz w:val="12"/>
        </w:rPr>
        <w:t>obtain</w:t>
      </w:r>
      <w:r>
        <w:rPr>
          <w:spacing w:val="25"/>
          <w:sz w:val="12"/>
        </w:rPr>
        <w:t> </w:t>
      </w:r>
      <w:r>
        <w:rPr>
          <w:sz w:val="12"/>
        </w:rPr>
        <w:t>Confidential</w:t>
      </w:r>
      <w:r>
        <w:rPr>
          <w:spacing w:val="25"/>
          <w:sz w:val="12"/>
        </w:rPr>
        <w:t> </w:t>
      </w:r>
      <w:r>
        <w:rPr>
          <w:sz w:val="12"/>
        </w:rPr>
        <w:t>Information</w:t>
      </w:r>
      <w:r>
        <w:rPr>
          <w:spacing w:val="25"/>
          <w:sz w:val="12"/>
        </w:rPr>
        <w:t> </w:t>
      </w:r>
      <w:r>
        <w:rPr>
          <w:sz w:val="12"/>
        </w:rPr>
        <w:t>from</w:t>
      </w:r>
      <w:r>
        <w:rPr>
          <w:spacing w:val="25"/>
          <w:sz w:val="12"/>
        </w:rPr>
        <w:t> </w:t>
      </w:r>
      <w:r>
        <w:rPr>
          <w:sz w:val="12"/>
        </w:rPr>
        <w:t>the other</w:t>
      </w:r>
      <w:r>
        <w:rPr>
          <w:spacing w:val="22"/>
          <w:sz w:val="12"/>
        </w:rPr>
        <w:t> </w:t>
      </w:r>
      <w:r>
        <w:rPr>
          <w:sz w:val="12"/>
        </w:rPr>
        <w:t>party.</w:t>
      </w:r>
      <w:r>
        <w:rPr>
          <w:spacing w:val="22"/>
          <w:sz w:val="12"/>
        </w:rPr>
        <w:t> </w:t>
      </w:r>
      <w:r>
        <w:rPr>
          <w:sz w:val="12"/>
        </w:rPr>
        <w:t>For</w:t>
      </w:r>
      <w:r>
        <w:rPr>
          <w:spacing w:val="22"/>
          <w:sz w:val="12"/>
        </w:rPr>
        <w:t> </w:t>
      </w:r>
      <w:r>
        <w:rPr>
          <w:sz w:val="12"/>
        </w:rPr>
        <w:t>the</w:t>
      </w:r>
      <w:r>
        <w:rPr>
          <w:spacing w:val="22"/>
          <w:sz w:val="12"/>
        </w:rPr>
        <w:t> </w:t>
      </w:r>
      <w:r>
        <w:rPr>
          <w:sz w:val="12"/>
        </w:rPr>
        <w:t>purposes</w:t>
      </w:r>
      <w:r>
        <w:rPr>
          <w:spacing w:val="22"/>
          <w:sz w:val="12"/>
        </w:rPr>
        <w:t> </w:t>
      </w:r>
      <w:r>
        <w:rPr>
          <w:sz w:val="12"/>
        </w:rPr>
        <w:t>of</w:t>
      </w:r>
      <w:r>
        <w:rPr>
          <w:spacing w:val="22"/>
          <w:sz w:val="12"/>
        </w:rPr>
        <w:t> </w:t>
      </w:r>
      <w:r>
        <w:rPr>
          <w:sz w:val="12"/>
        </w:rPr>
        <w:t>this</w:t>
      </w:r>
      <w:r>
        <w:rPr>
          <w:spacing w:val="22"/>
          <w:sz w:val="12"/>
        </w:rPr>
        <w:t> </w:t>
      </w:r>
      <w:r>
        <w:rPr>
          <w:sz w:val="12"/>
        </w:rPr>
        <w:t>Section</w:t>
      </w:r>
      <w:r>
        <w:rPr>
          <w:spacing w:val="22"/>
          <w:sz w:val="12"/>
        </w:rPr>
        <w:t> </w:t>
      </w:r>
      <w:r>
        <w:rPr>
          <w:sz w:val="12"/>
        </w:rPr>
        <w:t>11,</w:t>
      </w:r>
      <w:r>
        <w:rPr>
          <w:spacing w:val="22"/>
          <w:sz w:val="12"/>
        </w:rPr>
        <w:t> </w:t>
      </w:r>
      <w:r>
        <w:rPr>
          <w:sz w:val="12"/>
        </w:rPr>
        <w:t>the</w:t>
      </w:r>
      <w:r>
        <w:rPr>
          <w:spacing w:val="22"/>
          <w:sz w:val="12"/>
        </w:rPr>
        <w:t> </w:t>
      </w:r>
      <w:r>
        <w:rPr>
          <w:sz w:val="12"/>
        </w:rPr>
        <w:t>party</w:t>
      </w:r>
      <w:r>
        <w:rPr>
          <w:spacing w:val="22"/>
          <w:sz w:val="12"/>
        </w:rPr>
        <w:t> </w:t>
      </w:r>
      <w:r>
        <w:rPr>
          <w:sz w:val="12"/>
        </w:rPr>
        <w:t>disclosing Confidential Information shall be the "Disclosing Party" and the party receiving Confidential</w:t>
      </w:r>
      <w:r>
        <w:rPr>
          <w:spacing w:val="34"/>
          <w:sz w:val="12"/>
        </w:rPr>
        <w:t> </w:t>
      </w:r>
      <w:r>
        <w:rPr>
          <w:sz w:val="12"/>
        </w:rPr>
        <w:t>Information</w:t>
      </w:r>
      <w:r>
        <w:rPr>
          <w:spacing w:val="34"/>
          <w:sz w:val="12"/>
        </w:rPr>
        <w:t> </w:t>
      </w:r>
      <w:r>
        <w:rPr>
          <w:sz w:val="12"/>
        </w:rPr>
        <w:t>shall</w:t>
      </w:r>
      <w:r>
        <w:rPr>
          <w:spacing w:val="34"/>
          <w:sz w:val="12"/>
        </w:rPr>
        <w:t> </w:t>
      </w:r>
      <w:r>
        <w:rPr>
          <w:sz w:val="12"/>
        </w:rPr>
        <w:t>be</w:t>
      </w:r>
      <w:r>
        <w:rPr>
          <w:spacing w:val="34"/>
          <w:sz w:val="12"/>
        </w:rPr>
        <w:t> </w:t>
      </w:r>
      <w:r>
        <w:rPr>
          <w:sz w:val="12"/>
        </w:rPr>
        <w:t>the</w:t>
      </w:r>
      <w:r>
        <w:rPr>
          <w:spacing w:val="34"/>
          <w:sz w:val="12"/>
        </w:rPr>
        <w:t> </w:t>
      </w:r>
      <w:r>
        <w:rPr>
          <w:sz w:val="12"/>
        </w:rPr>
        <w:t>"Receiving</w:t>
      </w:r>
      <w:r>
        <w:rPr>
          <w:spacing w:val="34"/>
          <w:sz w:val="12"/>
        </w:rPr>
        <w:t> </w:t>
      </w:r>
      <w:r>
        <w:rPr>
          <w:sz w:val="12"/>
        </w:rPr>
        <w:t>Party."</w:t>
      </w:r>
      <w:r>
        <w:rPr>
          <w:spacing w:val="34"/>
          <w:sz w:val="12"/>
        </w:rPr>
        <w:t> </w:t>
      </w:r>
      <w:r>
        <w:rPr>
          <w:sz w:val="12"/>
        </w:rPr>
        <w:t>"Confidential Information"</w:t>
      </w:r>
      <w:r>
        <w:rPr>
          <w:spacing w:val="28"/>
          <w:sz w:val="12"/>
        </w:rPr>
        <w:t> </w:t>
      </w:r>
      <w:r>
        <w:rPr>
          <w:sz w:val="12"/>
        </w:rPr>
        <w:t>means</w:t>
      </w:r>
      <w:r>
        <w:rPr>
          <w:spacing w:val="28"/>
          <w:sz w:val="12"/>
        </w:rPr>
        <w:t> </w:t>
      </w:r>
      <w:r>
        <w:rPr>
          <w:sz w:val="12"/>
        </w:rPr>
        <w:t>any</w:t>
      </w:r>
      <w:r>
        <w:rPr>
          <w:spacing w:val="28"/>
          <w:sz w:val="12"/>
        </w:rPr>
        <w:t> </w:t>
      </w:r>
      <w:r>
        <w:rPr>
          <w:sz w:val="12"/>
        </w:rPr>
        <w:t>and</w:t>
      </w:r>
      <w:r>
        <w:rPr>
          <w:spacing w:val="28"/>
          <w:sz w:val="12"/>
        </w:rPr>
        <w:t> </w:t>
      </w:r>
      <w:r>
        <w:rPr>
          <w:sz w:val="12"/>
        </w:rPr>
        <w:t>all</w:t>
      </w:r>
      <w:r>
        <w:rPr>
          <w:spacing w:val="28"/>
          <w:sz w:val="12"/>
        </w:rPr>
        <w:t> </w:t>
      </w:r>
      <w:r>
        <w:rPr>
          <w:sz w:val="12"/>
        </w:rPr>
        <w:t>technical</w:t>
      </w:r>
      <w:r>
        <w:rPr>
          <w:spacing w:val="28"/>
          <w:sz w:val="12"/>
        </w:rPr>
        <w:t> </w:t>
      </w:r>
      <w:r>
        <w:rPr>
          <w:sz w:val="12"/>
        </w:rPr>
        <w:t>and</w:t>
      </w:r>
      <w:r>
        <w:rPr>
          <w:spacing w:val="28"/>
          <w:sz w:val="12"/>
        </w:rPr>
        <w:t> </w:t>
      </w:r>
      <w:r>
        <w:rPr>
          <w:sz w:val="12"/>
        </w:rPr>
        <w:t>non-technical</w:t>
      </w:r>
      <w:r>
        <w:rPr>
          <w:spacing w:val="28"/>
          <w:sz w:val="12"/>
        </w:rPr>
        <w:t> </w:t>
      </w:r>
      <w:r>
        <w:rPr>
          <w:sz w:val="12"/>
        </w:rPr>
        <w:t>information</w:t>
      </w:r>
      <w:r>
        <w:rPr>
          <w:spacing w:val="28"/>
          <w:sz w:val="12"/>
        </w:rPr>
        <w:t> </w:t>
      </w:r>
      <w:r>
        <w:rPr>
          <w:sz w:val="12"/>
        </w:rPr>
        <w:t>provided by the Disclosing Party to the Receiving Party and shall include, but not be limited</w:t>
      </w:r>
      <w:r>
        <w:rPr>
          <w:spacing w:val="25"/>
          <w:sz w:val="12"/>
        </w:rPr>
        <w:t> </w:t>
      </w:r>
      <w:r>
        <w:rPr>
          <w:sz w:val="12"/>
        </w:rPr>
        <w:t>to,</w:t>
      </w:r>
      <w:r>
        <w:rPr>
          <w:spacing w:val="25"/>
          <w:sz w:val="12"/>
        </w:rPr>
        <w:t> </w:t>
      </w:r>
      <w:r>
        <w:rPr>
          <w:sz w:val="12"/>
        </w:rPr>
        <w:t>all</w:t>
      </w:r>
      <w:r>
        <w:rPr>
          <w:spacing w:val="25"/>
          <w:sz w:val="12"/>
        </w:rPr>
        <w:t> </w:t>
      </w:r>
      <w:r>
        <w:rPr>
          <w:sz w:val="12"/>
        </w:rPr>
        <w:t>information</w:t>
      </w:r>
      <w:r>
        <w:rPr>
          <w:spacing w:val="25"/>
          <w:sz w:val="12"/>
        </w:rPr>
        <w:t> </w:t>
      </w:r>
      <w:r>
        <w:rPr>
          <w:sz w:val="12"/>
        </w:rPr>
        <w:t>regarding</w:t>
      </w:r>
      <w:r>
        <w:rPr>
          <w:spacing w:val="25"/>
          <w:sz w:val="12"/>
        </w:rPr>
        <w:t> </w:t>
      </w:r>
      <w:r>
        <w:rPr>
          <w:sz w:val="12"/>
        </w:rPr>
        <w:t>(a)</w:t>
      </w:r>
      <w:r>
        <w:rPr>
          <w:spacing w:val="25"/>
          <w:sz w:val="12"/>
        </w:rPr>
        <w:t> </w:t>
      </w:r>
      <w:r>
        <w:rPr>
          <w:sz w:val="12"/>
        </w:rPr>
        <w:t>patent</w:t>
      </w:r>
      <w:r>
        <w:rPr>
          <w:spacing w:val="25"/>
          <w:sz w:val="12"/>
        </w:rPr>
        <w:t> </w:t>
      </w:r>
      <w:r>
        <w:rPr>
          <w:sz w:val="12"/>
        </w:rPr>
        <w:t>and</w:t>
      </w:r>
      <w:r>
        <w:rPr>
          <w:spacing w:val="25"/>
          <w:sz w:val="12"/>
        </w:rPr>
        <w:t> </w:t>
      </w:r>
      <w:r>
        <w:rPr>
          <w:sz w:val="12"/>
        </w:rPr>
        <w:t>patent</w:t>
      </w:r>
      <w:r>
        <w:rPr>
          <w:spacing w:val="25"/>
          <w:sz w:val="12"/>
        </w:rPr>
        <w:t> </w:t>
      </w:r>
      <w:r>
        <w:rPr>
          <w:sz w:val="12"/>
        </w:rPr>
        <w:t>applications,</w:t>
      </w:r>
      <w:r>
        <w:rPr>
          <w:spacing w:val="25"/>
          <w:sz w:val="12"/>
        </w:rPr>
        <w:t> </w:t>
      </w:r>
      <w:r>
        <w:rPr>
          <w:sz w:val="12"/>
        </w:rPr>
        <w:t>(b) trade</w:t>
      </w:r>
      <w:r>
        <w:rPr>
          <w:spacing w:val="30"/>
          <w:sz w:val="12"/>
        </w:rPr>
        <w:t> </w:t>
      </w:r>
      <w:r>
        <w:rPr>
          <w:sz w:val="12"/>
        </w:rPr>
        <w:t>secrets,</w:t>
      </w:r>
      <w:r>
        <w:rPr>
          <w:spacing w:val="30"/>
          <w:sz w:val="12"/>
        </w:rPr>
        <w:t> </w:t>
      </w:r>
      <w:r>
        <w:rPr>
          <w:sz w:val="12"/>
        </w:rPr>
        <w:t>and</w:t>
      </w:r>
      <w:r>
        <w:rPr>
          <w:spacing w:val="30"/>
          <w:sz w:val="12"/>
        </w:rPr>
        <w:t> </w:t>
      </w:r>
      <w:r>
        <w:rPr>
          <w:sz w:val="12"/>
        </w:rPr>
        <w:t>(c)</w:t>
      </w:r>
      <w:r>
        <w:rPr>
          <w:spacing w:val="30"/>
          <w:sz w:val="12"/>
        </w:rPr>
        <w:t> </w:t>
      </w:r>
      <w:r>
        <w:rPr>
          <w:sz w:val="12"/>
        </w:rPr>
        <w:t>proprietary</w:t>
      </w:r>
      <w:r>
        <w:rPr>
          <w:spacing w:val="30"/>
          <w:sz w:val="12"/>
        </w:rPr>
        <w:t> </w:t>
      </w:r>
      <w:r>
        <w:rPr>
          <w:sz w:val="12"/>
        </w:rPr>
        <w:t>information,</w:t>
      </w:r>
      <w:r>
        <w:rPr>
          <w:spacing w:val="30"/>
          <w:sz w:val="12"/>
        </w:rPr>
        <w:t> </w:t>
      </w:r>
      <w:r>
        <w:rPr>
          <w:sz w:val="12"/>
        </w:rPr>
        <w:t>ideas,</w:t>
      </w:r>
      <w:r>
        <w:rPr>
          <w:spacing w:val="30"/>
          <w:sz w:val="12"/>
        </w:rPr>
        <w:t> </w:t>
      </w:r>
      <w:r>
        <w:rPr>
          <w:sz w:val="12"/>
        </w:rPr>
        <w:t>samples,</w:t>
      </w:r>
      <w:r>
        <w:rPr>
          <w:spacing w:val="30"/>
          <w:sz w:val="12"/>
        </w:rPr>
        <w:t> </w:t>
      </w:r>
      <w:r>
        <w:rPr>
          <w:sz w:val="12"/>
        </w:rPr>
        <w:t>media, techniques,</w:t>
      </w:r>
      <w:r>
        <w:rPr>
          <w:spacing w:val="34"/>
          <w:sz w:val="12"/>
        </w:rPr>
        <w:t> </w:t>
      </w:r>
      <w:r>
        <w:rPr>
          <w:sz w:val="12"/>
        </w:rPr>
        <w:t>sketches,</w:t>
      </w:r>
      <w:r>
        <w:rPr>
          <w:spacing w:val="34"/>
          <w:sz w:val="12"/>
        </w:rPr>
        <w:t> </w:t>
      </w:r>
      <w:r>
        <w:rPr>
          <w:sz w:val="12"/>
        </w:rPr>
        <w:t>drawings,</w:t>
      </w:r>
      <w:r>
        <w:rPr>
          <w:spacing w:val="34"/>
          <w:sz w:val="12"/>
        </w:rPr>
        <w:t> </w:t>
      </w:r>
      <w:r>
        <w:rPr>
          <w:sz w:val="12"/>
        </w:rPr>
        <w:t>works</w:t>
      </w:r>
      <w:r>
        <w:rPr>
          <w:spacing w:val="34"/>
          <w:sz w:val="12"/>
        </w:rPr>
        <w:t> </w:t>
      </w:r>
      <w:r>
        <w:rPr>
          <w:sz w:val="12"/>
        </w:rPr>
        <w:t>of</w:t>
      </w:r>
      <w:r>
        <w:rPr>
          <w:spacing w:val="34"/>
          <w:sz w:val="12"/>
        </w:rPr>
        <w:t> </w:t>
      </w:r>
      <w:r>
        <w:rPr>
          <w:sz w:val="12"/>
        </w:rPr>
        <w:t>authorship,</w:t>
      </w:r>
      <w:r>
        <w:rPr>
          <w:spacing w:val="34"/>
          <w:sz w:val="12"/>
        </w:rPr>
        <w:t> </w:t>
      </w:r>
      <w:r>
        <w:rPr>
          <w:sz w:val="12"/>
        </w:rPr>
        <w:t>models,</w:t>
      </w:r>
      <w:r>
        <w:rPr>
          <w:spacing w:val="34"/>
          <w:sz w:val="12"/>
        </w:rPr>
        <w:t> </w:t>
      </w:r>
      <w:r>
        <w:rPr>
          <w:sz w:val="12"/>
        </w:rPr>
        <w:t>inventions,</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 eDiets Content; (b) the operation of the Women.com membership program; or</w:t>
      </w:r>
      <w:r>
        <w:rPr>
          <w:color w:val="FF0000"/>
        </w:rPr>
        <w:t>Each party agrees that the sole and exclusive remedy for a breach of the warranties set forth in this Section 12 shall be pursued through arbitration prior to seeking the indemnification set forth in Section 13 below.</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