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sz w:val="17"/>
          <w:u w:val="single"/>
        </w:rPr>
        <w:t xml:space="preserve">Supply of Product. </w:t>
      </w:r>
      <w:r>
        <w:rPr>
          <w:color w:val="FF0000"/>
          <w:sz w:val="17"/>
          <w:u w:val="single"/>
        </w:rPr>
        <w:t>Bellicum may offer and permit its Licensees and Subcontractors to use the Miltenyi Products supplied hereunder irrespective of whether such use complies with the terms and conditions of this Agreement or Applicable Laws.</w:t>
      </w:r>
      <w:r>
        <w:rPr>
          <w:sz w:val="17"/>
          <w:u w:val="single"/>
        </w:rPr>
        <w:t xml:space="preserve"> During the Term of this Agreement, and subject to the terms and conditions hereof, Miltenyi will non-exclusively supply and sell to Bellicum or its Licensees or Subcontractors, and Bellicum or its Licensees or Subcontractors will purchase from Miltenyi, Miltenyi Products listed on Exhibit B solely for the Permitted Use (as defined below). 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w w:val="105"/>
          <w:sz w:val="17"/>
        </w:rPr>
        <w:t>Bellicum</w:t>
      </w:r>
      <w:r>
        <w:rPr>
          <w:spacing w:val="-2"/>
          <w:w w:val="105"/>
          <w:sz w:val="17"/>
        </w:rPr>
        <w:t> </w:t>
      </w:r>
      <w:r>
        <w:rPr>
          <w:w w:val="105"/>
          <w:sz w:val="17"/>
        </w:rPr>
        <w:t>may</w:t>
      </w:r>
      <w:r>
        <w:rPr>
          <w:spacing w:val="-2"/>
          <w:w w:val="105"/>
          <w:sz w:val="17"/>
        </w:rPr>
        <w:t> </w:t>
      </w:r>
      <w:r>
        <w:rPr>
          <w:w w:val="105"/>
          <w:sz w:val="17"/>
        </w:rPr>
        <w:t>offer</w:t>
      </w:r>
      <w:r>
        <w:rPr>
          <w:spacing w:val="-2"/>
          <w:w w:val="105"/>
          <w:sz w:val="17"/>
        </w:rPr>
        <w:t> </w:t>
      </w:r>
      <w:r>
        <w:rPr>
          <w:w w:val="105"/>
          <w:sz w:val="17"/>
        </w:rPr>
        <w:t>and</w:t>
      </w:r>
      <w:r>
        <w:rPr>
          <w:spacing w:val="-2"/>
          <w:w w:val="105"/>
          <w:sz w:val="17"/>
        </w:rPr>
        <w:t> </w:t>
      </w:r>
      <w:r>
        <w:rPr>
          <w:w w:val="105"/>
          <w:sz w:val="17"/>
        </w:rPr>
        <w:t>permit</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and</w:t>
      </w:r>
      <w:r>
        <w:rPr>
          <w:spacing w:val="-2"/>
          <w:w w:val="105"/>
          <w:sz w:val="17"/>
        </w:rPr>
        <w:t> </w:t>
      </w:r>
      <w:r>
        <w:rPr>
          <w:w w:val="105"/>
          <w:sz w:val="17"/>
        </w:rPr>
        <w:t>Subcontractors</w:t>
      </w:r>
      <w:r>
        <w:rPr>
          <w:spacing w:val="-2"/>
          <w:w w:val="105"/>
          <w:sz w:val="17"/>
        </w:rPr>
        <w:t> </w:t>
      </w:r>
      <w:r>
        <w:rPr>
          <w:w w:val="105"/>
          <w:sz w:val="17"/>
        </w:rPr>
        <w:t>(if</w:t>
      </w:r>
      <w:r>
        <w:rPr>
          <w:spacing w:val="-2"/>
          <w:w w:val="105"/>
          <w:sz w:val="17"/>
        </w:rPr>
        <w:t> </w:t>
      </w:r>
      <w:r>
        <w:rPr>
          <w:w w:val="105"/>
          <w:sz w:val="17"/>
        </w:rPr>
        <w:t>any)</w:t>
      </w:r>
      <w:r>
        <w:rPr>
          <w:spacing w:val="-2"/>
          <w:w w:val="105"/>
          <w:sz w:val="17"/>
        </w:rPr>
        <w:t> </w:t>
      </w:r>
      <w:r>
        <w:rPr>
          <w:w w:val="105"/>
          <w:sz w:val="17"/>
        </w:rPr>
        <w:t>to</w:t>
      </w:r>
      <w:r>
        <w:rPr>
          <w:spacing w:val="-2"/>
          <w:w w:val="105"/>
          <w:sz w:val="17"/>
        </w:rPr>
        <w:t> </w:t>
      </w:r>
      <w:r>
        <w:rPr>
          <w:w w:val="105"/>
          <w:sz w:val="17"/>
        </w:rPr>
        <w:t>use</w:t>
      </w:r>
      <w:r>
        <w:rPr>
          <w:spacing w:val="-2"/>
          <w:w w:val="105"/>
          <w:sz w:val="17"/>
        </w:rPr>
        <w:t> </w:t>
      </w:r>
      <w:r>
        <w:rPr>
          <w:w w:val="105"/>
          <w:sz w:val="17"/>
        </w:rPr>
        <w:t>the</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supplied</w:t>
      </w:r>
      <w:r>
        <w:rPr>
          <w:spacing w:val="-2"/>
          <w:w w:val="105"/>
          <w:sz w:val="17"/>
        </w:rPr>
        <w:t> </w:t>
      </w:r>
      <w:r>
        <w:rPr>
          <w:w w:val="105"/>
          <w:sz w:val="17"/>
        </w:rPr>
        <w:t>hereunder</w:t>
      </w:r>
      <w:r>
        <w:rPr>
          <w:spacing w:val="-2"/>
          <w:w w:val="105"/>
          <w:sz w:val="17"/>
        </w:rPr>
        <w:t> </w:t>
      </w:r>
      <w:r>
        <w:rPr>
          <w:w w:val="105"/>
          <w:sz w:val="17"/>
        </w:rPr>
        <w:t>only</w:t>
      </w:r>
      <w:r>
        <w:rPr>
          <w:spacing w:val="-2"/>
          <w:w w:val="105"/>
          <w:sz w:val="17"/>
        </w:rPr>
        <w:t> </w:t>
      </w:r>
      <w:r>
        <w:rPr>
          <w:w w:val="105"/>
          <w:sz w:val="17"/>
        </w:rPr>
        <w:t>if</w:t>
      </w:r>
      <w:r>
        <w:rPr>
          <w:spacing w:val="-2"/>
          <w:w w:val="105"/>
          <w:sz w:val="17"/>
        </w:rPr>
        <w:t> </w:t>
      </w:r>
      <w:r>
        <w:rPr>
          <w:w w:val="105"/>
          <w:sz w:val="17"/>
        </w:rPr>
        <w:t>and</w:t>
      </w:r>
      <w:r>
        <w:rPr>
          <w:spacing w:val="-2"/>
          <w:w w:val="105"/>
          <w:sz w:val="17"/>
        </w:rPr>
        <w:t> </w:t>
      </w:r>
      <w:r>
        <w:rPr>
          <w:w w:val="105"/>
          <w:sz w:val="17"/>
        </w:rPr>
        <w:t>so long</w:t>
      </w:r>
      <w:r>
        <w:rPr>
          <w:spacing w:val="-3"/>
          <w:w w:val="105"/>
          <w:sz w:val="17"/>
        </w:rPr>
        <w:t> </w:t>
      </w:r>
      <w:r>
        <w:rPr>
          <w:w w:val="105"/>
          <w:sz w:val="17"/>
        </w:rPr>
        <w:t>as</w:t>
      </w:r>
      <w:r>
        <w:rPr>
          <w:spacing w:val="-3"/>
          <w:w w:val="105"/>
          <w:sz w:val="17"/>
        </w:rPr>
        <w:t> </w:t>
      </w:r>
      <w:r>
        <w:rPr>
          <w:w w:val="105"/>
          <w:sz w:val="17"/>
        </w:rPr>
        <w:t>such</w:t>
      </w:r>
      <w:r>
        <w:rPr>
          <w:spacing w:val="-3"/>
          <w:w w:val="105"/>
          <w:sz w:val="17"/>
        </w:rPr>
        <w:t> </w:t>
      </w:r>
      <w:r>
        <w:rPr>
          <w:w w:val="105"/>
          <w:sz w:val="17"/>
        </w:rPr>
        <w:t>use</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the</w:t>
      </w:r>
      <w:r>
        <w:rPr>
          <w:spacing w:val="-3"/>
          <w:w w:val="105"/>
          <w:sz w:val="17"/>
        </w:rPr>
        <w:t> </w:t>
      </w:r>
      <w:r>
        <w:rPr>
          <w:w w:val="105"/>
          <w:sz w:val="17"/>
        </w:rPr>
        <w:t>terms</w:t>
      </w:r>
      <w:r>
        <w:rPr>
          <w:spacing w:val="-3"/>
          <w:w w:val="105"/>
          <w:sz w:val="17"/>
        </w:rPr>
        <w:t> </w:t>
      </w:r>
      <w:r>
        <w:rPr>
          <w:w w:val="105"/>
          <w:sz w:val="17"/>
        </w:rPr>
        <w:t>and</w:t>
      </w:r>
      <w:r>
        <w:rPr>
          <w:spacing w:val="-3"/>
          <w:w w:val="105"/>
          <w:sz w:val="17"/>
        </w:rPr>
        <w:t> </w:t>
      </w:r>
      <w:r>
        <w:rPr>
          <w:w w:val="105"/>
          <w:sz w:val="17"/>
        </w:rPr>
        <w:t>conditions</w:t>
      </w:r>
      <w:r>
        <w:rPr>
          <w:spacing w:val="-3"/>
          <w:w w:val="105"/>
          <w:sz w:val="17"/>
        </w:rPr>
        <w:t> </w:t>
      </w:r>
      <w:r>
        <w:rPr>
          <w:w w:val="105"/>
          <w:sz w:val="17"/>
        </w:rPr>
        <w:t>of</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Laws.</w:t>
      </w:r>
      <w:r>
        <w:rPr>
          <w:spacing w:val="-4"/>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instruct</w:t>
      </w:r>
      <w:r>
        <w:rPr>
          <w:spacing w:val="-6"/>
          <w:w w:val="105"/>
          <w:sz w:val="17"/>
        </w:rPr>
        <w:t> </w:t>
      </w:r>
      <w:r>
        <w:rPr>
          <w:w w:val="105"/>
          <w:sz w:val="17"/>
        </w:rPr>
        <w:t>and</w:t>
      </w:r>
      <w:r>
        <w:rPr>
          <w:spacing w:val="-6"/>
          <w:w w:val="105"/>
          <w:sz w:val="17"/>
        </w:rPr>
        <w:t> </w:t>
      </w:r>
      <w:r>
        <w:rPr>
          <w:w w:val="105"/>
          <w:sz w:val="17"/>
        </w:rPr>
        <w:t>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w:t>
      </w:r>
      <w:r>
        <w:rPr>
          <w:w w:val="105"/>
          <w:sz w:val="17"/>
          <w:u w:val="single"/>
        </w:rPr>
        <w:t>Change</w:t>
      </w:r>
      <w:r>
        <w:rPr>
          <w:w w:val="105"/>
          <w:sz w:val="17"/>
        </w:rPr>
        <w:t>”), Miltenyi shall notify Bellicum in accordance with the Change Notification procedures set forth in Section</w:t>
      </w:r>
      <w:r>
        <w:rPr>
          <w:spacing w:val="-4"/>
          <w:w w:val="105"/>
          <w:sz w:val="17"/>
        </w:rPr>
        <w:t> </w:t>
      </w:r>
      <w:r>
        <w:rPr>
          <w:w w:val="105"/>
          <w:sz w:val="17"/>
        </w:rPr>
        <w:t>3.2(b)</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Quality</w:t>
      </w:r>
      <w:r>
        <w:rPr>
          <w:spacing w:val="-4"/>
          <w:w w:val="105"/>
          <w:sz w:val="17"/>
        </w:rPr>
        <w:t> </w:t>
      </w:r>
      <w:r>
        <w:rPr>
          <w:w w:val="105"/>
          <w:sz w:val="17"/>
        </w:rPr>
        <w:t>Agreement</w:t>
      </w:r>
      <w:r>
        <w:rPr>
          <w:spacing w:val="-4"/>
          <w:w w:val="105"/>
          <w:sz w:val="17"/>
        </w:rPr>
        <w:t> </w:t>
      </w:r>
      <w:r>
        <w:rPr>
          <w:w w:val="105"/>
          <w:sz w:val="17"/>
        </w:rPr>
        <w:t>before</w:t>
      </w:r>
      <w:r>
        <w:rPr>
          <w:spacing w:val="-4"/>
          <w:w w:val="105"/>
          <w:sz w:val="17"/>
        </w:rPr>
        <w:t> </w:t>
      </w:r>
      <w:r>
        <w:rPr>
          <w:w w:val="105"/>
          <w:sz w:val="17"/>
        </w:rPr>
        <w:t>implementation</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Miltenyi-Requested</w:t>
      </w:r>
      <w:r>
        <w:rPr>
          <w:spacing w:val="-4"/>
          <w:w w:val="105"/>
          <w:sz w:val="17"/>
        </w:rPr>
        <w:t> </w:t>
      </w:r>
      <w:r>
        <w:rPr>
          <w:w w:val="105"/>
          <w:sz w:val="17"/>
        </w:rPr>
        <w:t>Change</w:t>
      </w:r>
      <w:r>
        <w:rPr>
          <w:spacing w:val="-4"/>
          <w:w w:val="105"/>
          <w:sz w:val="17"/>
        </w:rPr>
        <w:t> </w:t>
      </w:r>
      <w:r>
        <w:rPr>
          <w:w w:val="105"/>
          <w:sz w:val="17"/>
        </w:rPr>
        <w:t>(including</w:t>
      </w:r>
      <w:r>
        <w:rPr>
          <w:spacing w:val="-4"/>
          <w:w w:val="105"/>
          <w:sz w:val="17"/>
        </w:rPr>
        <w:t> </w:t>
      </w:r>
      <w:r>
        <w:rPr>
          <w:w w:val="105"/>
          <w:sz w:val="17"/>
        </w:rPr>
        <w:t>at</w:t>
      </w:r>
      <w:r>
        <w:rPr>
          <w:spacing w:val="-4"/>
          <w:w w:val="105"/>
          <w:sz w:val="17"/>
        </w:rPr>
        <w:t> </w:t>
      </w:r>
      <w:r>
        <w:rPr>
          <w:w w:val="105"/>
          <w:sz w:val="17"/>
        </w:rPr>
        <w:t>least</w:t>
      </w:r>
      <w:r>
        <w:rPr>
          <w:spacing w:val="-4"/>
          <w:w w:val="105"/>
          <w:sz w:val="17"/>
        </w:rPr>
        <w:t> </w:t>
      </w:r>
      <w:r>
        <w:rPr>
          <w:w w:val="105"/>
          <w:sz w:val="17"/>
        </w:rPr>
        <w:t>6</w:t>
      </w:r>
      <w:r>
        <w:rPr>
          <w:spacing w:val="-4"/>
          <w:w w:val="105"/>
          <w:sz w:val="17"/>
        </w:rPr>
        <w:t> </w:t>
      </w:r>
      <w:r>
        <w:rPr>
          <w:w w:val="105"/>
          <w:sz w:val="17"/>
        </w:rPr>
        <w:t>months</w:t>
      </w:r>
      <w:r>
        <w:rPr>
          <w:spacing w:val="-4"/>
          <w:w w:val="105"/>
          <w:sz w:val="17"/>
        </w:rPr>
        <w:t>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w:t>
      </w:r>
      <w:r>
        <w:rPr>
          <w:w w:val="105"/>
          <w:sz w:val="17"/>
        </w:rPr>
        <w:t>regarding</w:t>
      </w:r>
      <w:r>
        <w:rPr>
          <w:spacing w:val="-5"/>
          <w:w w:val="105"/>
          <w:sz w:val="17"/>
        </w:rPr>
        <w:t> </w:t>
      </w:r>
      <w:r>
        <w:rPr>
          <w:w w:val="105"/>
          <w:sz w:val="17"/>
        </w:rPr>
        <w:t>changes</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subsection,</w:t>
      </w:r>
      <w:r>
        <w:rPr>
          <w:spacing w:val="-5"/>
          <w:w w:val="105"/>
          <w:sz w:val="17"/>
        </w:rPr>
        <w:t> </w:t>
      </w:r>
      <w:r>
        <w:rPr>
          <w:w w:val="105"/>
          <w:sz w:val="17"/>
        </w:rPr>
        <w:t>if</w:t>
      </w:r>
      <w:r>
        <w:rPr>
          <w:spacing w:val="-5"/>
          <w:w w:val="105"/>
          <w:sz w:val="17"/>
        </w:rPr>
        <w:t> </w:t>
      </w:r>
      <w:r>
        <w:rPr>
          <w:w w:val="105"/>
          <w:sz w:val="17"/>
        </w:rPr>
        <w:t>applicable.</w:t>
      </w:r>
      <w:r>
        <w:rPr>
          <w:spacing w:val="-8"/>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implement</w:t>
      </w:r>
      <w:r>
        <w:rPr>
          <w:spacing w:val="-6"/>
          <w:w w:val="105"/>
          <w:sz w:val="17"/>
        </w:rPr>
        <w:t> </w:t>
      </w:r>
      <w:r>
        <w:rPr>
          <w:w w:val="105"/>
          <w:sz w:val="17"/>
        </w:rPr>
        <w:t>such</w:t>
      </w:r>
      <w:r>
        <w:rPr>
          <w:spacing w:val="-6"/>
          <w:w w:val="105"/>
          <w:sz w:val="17"/>
        </w:rPr>
        <w:t> </w:t>
      </w:r>
      <w:r>
        <w:rPr>
          <w:w w:val="105"/>
          <w:sz w:val="17"/>
        </w:rPr>
        <w:t>Miltenyi-Requested</w:t>
      </w:r>
      <w:r>
        <w:rPr>
          <w:spacing w:val="-6"/>
          <w:w w:val="105"/>
          <w:sz w:val="17"/>
        </w:rPr>
        <w:t> </w:t>
      </w:r>
      <w:r>
        <w:rPr>
          <w:w w:val="105"/>
          <w:sz w:val="17"/>
        </w:rPr>
        <w:t>Change</w:t>
      </w:r>
      <w:r>
        <w:rPr>
          <w:spacing w:val="-6"/>
          <w:w w:val="105"/>
          <w:sz w:val="17"/>
        </w:rPr>
        <w:t> </w:t>
      </w:r>
      <w:r>
        <w:rPr>
          <w:w w:val="105"/>
          <w:sz w:val="17"/>
        </w:rPr>
        <w:t>at</w:t>
      </w:r>
      <w:r>
        <w:rPr>
          <w:spacing w:val="-6"/>
          <w:w w:val="105"/>
          <w:sz w:val="17"/>
        </w:rPr>
        <w:t> </w:t>
      </w:r>
      <w:r>
        <w:rPr>
          <w:w w:val="105"/>
          <w:sz w:val="17"/>
        </w:rPr>
        <w:t>its</w:t>
      </w:r>
      <w:r>
        <w:rPr>
          <w:spacing w:val="-6"/>
          <w:w w:val="105"/>
          <w:sz w:val="17"/>
        </w:rPr>
        <w:t> </w:t>
      </w:r>
      <w:r>
        <w:rPr>
          <w:w w:val="105"/>
          <w:sz w:val="17"/>
        </w:rPr>
        <w:t>own</w:t>
      </w:r>
      <w:r>
        <w:rPr>
          <w:spacing w:val="-6"/>
          <w:w w:val="105"/>
          <w:sz w:val="17"/>
        </w:rPr>
        <w:t> </w:t>
      </w:r>
      <w:r>
        <w:rPr>
          <w:w w:val="105"/>
          <w:sz w:val="17"/>
        </w:rPr>
        <w:t>cost and expense.</w:t>
      </w:r>
      <w:r>
        <w:rPr>
          <w:spacing w:val="40"/>
          <w:w w:val="105"/>
          <w:sz w:val="17"/>
        </w:rPr>
        <w:t>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 xml:space="preserve">Regulatory Responsibility. </w:t>
      </w:r>
      <w:r>
        <w:rPr>
          <w:color w:val="FF0000"/>
          <w:sz w:val="17"/>
          <w:u w:val="single"/>
        </w:rPr>
        <w:t>Miltenyi, and not Bellicum, shall have sole responsibility for all regulatory activities with respect to any Bellicum Product, including the manufacture and quality control thereof.</w:t>
      </w:r>
    </w:p>
    <w:p>
      <w:pPr>
        <w:pStyle w:val="ListParagraph"/>
        <w:numPr>
          <w:ilvl w:val="0"/>
          <w:numId w:val="12"/>
        </w:numPr>
        <w:tabs>
          <w:tab w:pos="285" w:val="left" w:leader="none"/>
        </w:tabs>
        <w:spacing w:line="256" w:lineRule="auto" w:before="183" w:after="0"/>
        <w:ind w:left="8" w:right="141" w:firstLine="0"/>
        <w:jc w:val="both"/>
        <w:rPr>
          <w:sz w:val="17"/>
        </w:rPr>
      </w:pPr>
      <w:r>
        <w:rPr>
          <w:w w:val="105"/>
          <w:sz w:val="17"/>
        </w:rPr>
        <w:t>Bellicum Product(s).</w:t>
      </w:r>
      <w:r>
        <w:rPr>
          <w:spacing w:val="40"/>
          <w:w w:val="105"/>
          <w:sz w:val="17"/>
        </w:rPr>
        <w:t>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w w:val="105"/>
          <w:sz w:val="17"/>
        </w:rPr>
        <w:t>Miltenyi Product(s).</w:t>
      </w:r>
      <w:r>
        <w:rPr>
          <w:spacing w:val="40"/>
          <w:w w:val="105"/>
          <w:sz w:val="17"/>
        </w:rPr>
        <w:t>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sz w:val="17"/>
        </w:rPr>
        <w:t xml:space="preserve">In the event of a Bellicum Product safety issue, withdrawal or hold on use of a Bellicum Product by a Regulatory Authority or other issue that directly results in a material reduction or elimination of Bellicum’s quantity requirements for a particular Miltenyi Product(s), the Parties will discuss promptly and in good faith adjustments to the permitted forecast variance described in Section 5.1(e) during the period when such circumstance exists, and other steps that could be taken to soften the impact of such circumstance on each Party. </w:t>
      </w:r>
      <w:r>
        <w:rPr>
          <w:color w:val="FF0000"/>
          <w:sz w:val="17"/>
        </w:rPr>
        <w:t>Notwithstanding the foregoing, Miltenyi may implement any Miltenyi-Requested Change without providing any advance written notice to Bellicum.</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w w:val="105"/>
          <w:sz w:val="17"/>
          <w:u w:val="single"/>
        </w:rPr>
        <w:t>Upfront Payment</w:t>
      </w:r>
      <w:r>
        <w:rPr>
          <w:w w:val="105"/>
          <w:sz w:val="17"/>
        </w:rPr>
        <w:t>.</w:t>
      </w:r>
      <w:r>
        <w:rPr>
          <w:spacing w:val="15"/>
          <w:w w:val="105"/>
          <w:sz w:val="17"/>
        </w:rPr>
        <w:t>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w:t>
      </w:r>
      <w:r>
        <w:rPr>
          <w:w w:val="105"/>
          <w:sz w:val="17"/>
        </w:rPr>
        <w:t>File(s)</w:t>
      </w:r>
      <w:r>
        <w:rPr>
          <w:spacing w:val="-5"/>
          <w:w w:val="105"/>
          <w:sz w:val="17"/>
        </w:rPr>
        <w:t> </w:t>
      </w:r>
      <w:r>
        <w:rPr>
          <w:w w:val="105"/>
          <w:sz w:val="17"/>
        </w:rPr>
        <w:t>and</w:t>
      </w:r>
      <w:r>
        <w:rPr>
          <w:spacing w:val="-5"/>
          <w:w w:val="105"/>
          <w:sz w:val="17"/>
        </w:rPr>
        <w:t> </w:t>
      </w:r>
      <w:r>
        <w:rPr>
          <w:w w:val="105"/>
          <w:sz w:val="17"/>
        </w:rPr>
        <w:t>Miltenyi’s</w:t>
      </w:r>
      <w:r>
        <w:rPr>
          <w:spacing w:val="-5"/>
          <w:w w:val="105"/>
          <w:sz w:val="17"/>
        </w:rPr>
        <w:t> </w:t>
      </w:r>
      <w:r>
        <w:rPr>
          <w:w w:val="105"/>
          <w:sz w:val="17"/>
        </w:rPr>
        <w:t>additional</w:t>
      </w:r>
      <w:r>
        <w:rPr>
          <w:spacing w:val="-5"/>
          <w:w w:val="105"/>
          <w:sz w:val="17"/>
        </w:rPr>
        <w:t> </w:t>
      </w:r>
      <w:r>
        <w:rPr>
          <w:w w:val="105"/>
          <w:sz w:val="17"/>
        </w:rPr>
        <w:t>filings</w:t>
      </w:r>
      <w:r>
        <w:rPr>
          <w:spacing w:val="-5"/>
          <w:w w:val="105"/>
          <w:sz w:val="17"/>
        </w:rPr>
        <w:t> </w:t>
      </w:r>
      <w:r>
        <w:rPr>
          <w:w w:val="105"/>
          <w:sz w:val="17"/>
        </w:rPr>
        <w:t>in</w:t>
      </w:r>
      <w:r>
        <w:rPr>
          <w:spacing w:val="-5"/>
          <w:w w:val="105"/>
          <w:sz w:val="17"/>
        </w:rPr>
        <w:t> </w:t>
      </w:r>
      <w:r>
        <w:rPr>
          <w:w w:val="105"/>
          <w:sz w:val="17"/>
        </w:rPr>
        <w:t>connection</w:t>
      </w:r>
      <w:r>
        <w:rPr>
          <w:spacing w:val="-5"/>
          <w:w w:val="105"/>
          <w:sz w:val="17"/>
        </w:rPr>
        <w:t> </w:t>
      </w:r>
      <w:r>
        <w:rPr>
          <w:w w:val="105"/>
          <w:sz w:val="17"/>
        </w:rPr>
        <w:t>with</w:t>
      </w:r>
      <w:r>
        <w:rPr>
          <w:spacing w:val="-5"/>
          <w:w w:val="105"/>
          <w:sz w:val="17"/>
        </w:rPr>
        <w:t> </w:t>
      </w:r>
      <w:r>
        <w:rPr>
          <w:w w:val="105"/>
          <w:sz w:val="17"/>
        </w:rPr>
        <w:t>such</w:t>
      </w:r>
      <w:r>
        <w:rPr>
          <w:spacing w:val="-5"/>
          <w:w w:val="105"/>
          <w:sz w:val="17"/>
        </w:rPr>
        <w:t> </w:t>
      </w:r>
      <w:r>
        <w:rPr>
          <w:w w:val="105"/>
          <w:sz w:val="17"/>
        </w:rPr>
        <w:t>Master</w:t>
      </w:r>
      <w:r>
        <w:rPr>
          <w:spacing w:val="-5"/>
          <w:w w:val="105"/>
          <w:sz w:val="17"/>
        </w:rPr>
        <w:t> </w:t>
      </w:r>
      <w:r>
        <w:rPr>
          <w:w w:val="105"/>
          <w:sz w:val="17"/>
        </w:rPr>
        <w:t>File(s)</w:t>
      </w:r>
      <w:r>
        <w:rPr>
          <w:spacing w:val="-5"/>
          <w:w w:val="105"/>
          <w:sz w:val="17"/>
        </w:rPr>
        <w:t> </w:t>
      </w:r>
      <w:r>
        <w:rPr>
          <w:w w:val="105"/>
          <w:sz w:val="17"/>
        </w:rPr>
        <w:t>as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Article</w:t>
      </w:r>
      <w:r>
        <w:rPr>
          <w:spacing w:val="-5"/>
          <w:w w:val="105"/>
          <w:sz w:val="17"/>
        </w:rPr>
        <w:t> </w:t>
      </w:r>
      <w:r>
        <w:rPr>
          <w:w w:val="105"/>
          <w:sz w:val="17"/>
        </w:rPr>
        <w:t>4;</w:t>
      </w:r>
      <w:r>
        <w:rPr>
          <w:spacing w:val="-5"/>
          <w:w w:val="105"/>
          <w:sz w:val="17"/>
        </w:rPr>
        <w:t> </w:t>
      </w:r>
      <w:r>
        <w:rPr>
          <w:w w:val="105"/>
          <w:sz w:val="17"/>
        </w:rPr>
        <w:t>(ii)</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 certain</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for</w:t>
      </w:r>
      <w:r>
        <w:rPr>
          <w:spacing w:val="-2"/>
          <w:w w:val="105"/>
          <w:sz w:val="17"/>
        </w:rPr>
        <w:t> </w:t>
      </w:r>
      <w:r>
        <w:rPr>
          <w:w w:val="105"/>
          <w:sz w:val="17"/>
        </w:rPr>
        <w:t>human</w:t>
      </w:r>
      <w:r>
        <w:rPr>
          <w:spacing w:val="-2"/>
          <w:w w:val="105"/>
          <w:sz w:val="17"/>
        </w:rPr>
        <w:t> </w:t>
      </w:r>
      <w:r>
        <w:rPr>
          <w:w w:val="105"/>
          <w:sz w:val="17"/>
        </w:rPr>
        <w:t>clinical</w:t>
      </w:r>
      <w:r>
        <w:rPr>
          <w:spacing w:val="-2"/>
          <w:w w:val="105"/>
          <w:sz w:val="17"/>
        </w:rPr>
        <w:t> </w:t>
      </w:r>
      <w:r>
        <w:rPr>
          <w:w w:val="105"/>
          <w:sz w:val="17"/>
        </w:rPr>
        <w:t>trials</w:t>
      </w:r>
      <w:r>
        <w:rPr>
          <w:spacing w:val="-2"/>
          <w:w w:val="105"/>
          <w:sz w:val="17"/>
        </w:rPr>
        <w:t> </w:t>
      </w:r>
      <w:r>
        <w:rPr>
          <w:w w:val="105"/>
          <w:sz w:val="17"/>
        </w:rPr>
        <w:t>and</w:t>
      </w:r>
      <w:r>
        <w:rPr>
          <w:spacing w:val="-2"/>
          <w:w w:val="105"/>
          <w:sz w:val="17"/>
        </w:rPr>
        <w:t> </w:t>
      </w:r>
      <w:r>
        <w:rPr>
          <w:w w:val="105"/>
          <w:sz w:val="17"/>
        </w:rPr>
        <w:t>commercialized</w:t>
      </w:r>
      <w:r>
        <w:rPr>
          <w:spacing w:val="-2"/>
          <w:w w:val="105"/>
          <w:sz w:val="17"/>
        </w:rPr>
        <w:t> </w:t>
      </w:r>
      <w:r>
        <w:rPr>
          <w:w w:val="105"/>
          <w:sz w:val="17"/>
        </w:rPr>
        <w:t>human</w:t>
      </w:r>
      <w:r>
        <w:rPr>
          <w:spacing w:val="-2"/>
          <w:w w:val="105"/>
          <w:sz w:val="17"/>
        </w:rPr>
        <w:t> </w:t>
      </w:r>
      <w:r>
        <w:rPr>
          <w:w w:val="105"/>
          <w:sz w:val="17"/>
        </w:rPr>
        <w:t>use;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Miltenyi’s</w:t>
      </w:r>
      <w:r>
        <w:rPr>
          <w:spacing w:val="-2"/>
          <w:w w:val="105"/>
          <w:sz w:val="17"/>
        </w:rPr>
        <w:t> </w:t>
      </w:r>
      <w:r>
        <w:rPr>
          <w:w w:val="105"/>
          <w:sz w:val="17"/>
        </w:rPr>
        <w:t>support</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