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w w:val="105"/>
          <w:sz w:val="17"/>
        </w:rPr>
        <w:t>Bellicum</w:t>
      </w:r>
      <w:r>
        <w:rPr>
          <w:spacing w:val="-2"/>
          <w:w w:val="105"/>
          <w:sz w:val="17"/>
        </w:rPr>
        <w:t> </w:t>
      </w:r>
      <w:r>
        <w:rPr>
          <w:w w:val="105"/>
          <w:sz w:val="17"/>
        </w:rPr>
        <w:t>may</w:t>
      </w:r>
      <w:r>
        <w:rPr>
          <w:spacing w:val="-2"/>
          <w:w w:val="105"/>
          <w:sz w:val="17"/>
        </w:rPr>
        <w:t> </w:t>
      </w:r>
      <w:r>
        <w:rPr>
          <w:w w:val="105"/>
          <w:sz w:val="17"/>
        </w:rPr>
        <w:t>offer</w:t>
      </w:r>
      <w:r>
        <w:rPr>
          <w:spacing w:val="-2"/>
          <w:w w:val="105"/>
          <w:sz w:val="17"/>
        </w:rPr>
        <w:t> </w:t>
      </w:r>
      <w:r>
        <w:rPr>
          <w:w w:val="105"/>
          <w:sz w:val="17"/>
        </w:rPr>
        <w:t>and</w:t>
      </w:r>
      <w:r>
        <w:rPr>
          <w:spacing w:val="-2"/>
          <w:w w:val="105"/>
          <w:sz w:val="17"/>
        </w:rPr>
        <w:t> </w:t>
      </w:r>
      <w:r>
        <w:rPr>
          <w:w w:val="105"/>
          <w:sz w:val="17"/>
        </w:rPr>
        <w:t>permit</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and</w:t>
      </w:r>
      <w:r>
        <w:rPr>
          <w:spacing w:val="-2"/>
          <w:w w:val="105"/>
          <w:sz w:val="17"/>
        </w:rPr>
        <w:t> </w:t>
      </w:r>
      <w:r>
        <w:rPr>
          <w:w w:val="105"/>
          <w:sz w:val="17"/>
        </w:rPr>
        <w:t>Subcontractors</w:t>
      </w:r>
      <w:r>
        <w:rPr>
          <w:spacing w:val="-2"/>
          <w:w w:val="105"/>
          <w:sz w:val="17"/>
        </w:rPr>
        <w:t> </w:t>
      </w:r>
      <w:r>
        <w:rPr>
          <w:w w:val="105"/>
          <w:sz w:val="17"/>
        </w:rPr>
        <w:t>(if</w:t>
      </w:r>
      <w:r>
        <w:rPr>
          <w:spacing w:val="-2"/>
          <w:w w:val="105"/>
          <w:sz w:val="17"/>
        </w:rPr>
        <w:t> </w:t>
      </w:r>
      <w:r>
        <w:rPr>
          <w:w w:val="105"/>
          <w:sz w:val="17"/>
        </w:rPr>
        <w:t>any)</w:t>
      </w:r>
      <w:r>
        <w:rPr>
          <w:spacing w:val="-2"/>
          <w:w w:val="105"/>
          <w:sz w:val="17"/>
        </w:rPr>
        <w:t> </w:t>
      </w:r>
      <w:r>
        <w:rPr>
          <w:w w:val="105"/>
          <w:sz w:val="17"/>
        </w:rPr>
        <w:t>to</w:t>
      </w:r>
      <w:r>
        <w:rPr>
          <w:spacing w:val="-2"/>
          <w:w w:val="105"/>
          <w:sz w:val="17"/>
        </w:rPr>
        <w:t> </w:t>
      </w:r>
      <w:r>
        <w:rPr>
          <w:w w:val="105"/>
          <w:sz w:val="17"/>
        </w:rPr>
        <w:t>use</w:t>
      </w:r>
      <w:r>
        <w:rPr>
          <w:spacing w:val="-2"/>
          <w:w w:val="105"/>
          <w:sz w:val="17"/>
        </w:rPr>
        <w:t> </w:t>
      </w:r>
      <w:r>
        <w:rPr>
          <w:w w:val="105"/>
          <w:sz w:val="17"/>
        </w:rPr>
        <w:t>the</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supplied</w:t>
      </w:r>
      <w:r>
        <w:rPr>
          <w:spacing w:val="-2"/>
          <w:w w:val="105"/>
          <w:sz w:val="17"/>
        </w:rPr>
        <w:t> </w:t>
      </w:r>
      <w:r>
        <w:rPr>
          <w:w w:val="105"/>
          <w:sz w:val="17"/>
        </w:rPr>
        <w:t>hereunder</w:t>
      </w:r>
      <w:r>
        <w:rPr>
          <w:spacing w:val="-2"/>
          <w:w w:val="105"/>
          <w:sz w:val="17"/>
        </w:rPr>
        <w:t> </w:t>
      </w:r>
      <w:r>
        <w:rPr>
          <w:w w:val="105"/>
          <w:sz w:val="17"/>
        </w:rPr>
        <w:t>only</w:t>
      </w:r>
      <w:r>
        <w:rPr>
          <w:spacing w:val="-2"/>
          <w:w w:val="105"/>
          <w:sz w:val="17"/>
        </w:rPr>
        <w:t> </w:t>
      </w:r>
      <w:r>
        <w:rPr>
          <w:w w:val="105"/>
          <w:sz w:val="17"/>
        </w:rPr>
        <w:t>if</w:t>
      </w:r>
      <w:r>
        <w:rPr>
          <w:spacing w:val="-2"/>
          <w:w w:val="105"/>
          <w:sz w:val="17"/>
        </w:rPr>
        <w:t> </w:t>
      </w:r>
      <w:r>
        <w:rPr>
          <w:w w:val="105"/>
          <w:sz w:val="17"/>
        </w:rPr>
        <w:t>and</w:t>
      </w:r>
      <w:r>
        <w:rPr>
          <w:spacing w:val="-2"/>
          <w:w w:val="105"/>
          <w:sz w:val="17"/>
        </w:rPr>
        <w:t> </w:t>
      </w:r>
      <w:r>
        <w:rPr>
          <w:w w:val="105"/>
          <w:sz w:val="17"/>
        </w:rPr>
        <w:t>so long</w:t>
      </w:r>
      <w:r>
        <w:rPr>
          <w:spacing w:val="-3"/>
          <w:w w:val="105"/>
          <w:sz w:val="17"/>
        </w:rPr>
        <w:t> </w:t>
      </w:r>
      <w:r>
        <w:rPr>
          <w:w w:val="105"/>
          <w:sz w:val="17"/>
        </w:rPr>
        <w:t>as</w:t>
      </w:r>
      <w:r>
        <w:rPr>
          <w:spacing w:val="-3"/>
          <w:w w:val="105"/>
          <w:sz w:val="17"/>
        </w:rPr>
        <w:t> </w:t>
      </w:r>
      <w:r>
        <w:rPr>
          <w:w w:val="105"/>
          <w:sz w:val="17"/>
        </w:rPr>
        <w:t>such</w:t>
      </w:r>
      <w:r>
        <w:rPr>
          <w:spacing w:val="-3"/>
          <w:w w:val="105"/>
          <w:sz w:val="17"/>
        </w:rPr>
        <w:t> </w:t>
      </w:r>
      <w:r>
        <w:rPr>
          <w:w w:val="105"/>
          <w:sz w:val="17"/>
        </w:rPr>
        <w:t>use</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the</w:t>
      </w:r>
      <w:r>
        <w:rPr>
          <w:spacing w:val="-3"/>
          <w:w w:val="105"/>
          <w:sz w:val="17"/>
        </w:rPr>
        <w:t> </w:t>
      </w:r>
      <w:r>
        <w:rPr>
          <w:w w:val="105"/>
          <w:sz w:val="17"/>
        </w:rPr>
        <w:t>terms</w:t>
      </w:r>
      <w:r>
        <w:rPr>
          <w:spacing w:val="-3"/>
          <w:w w:val="105"/>
          <w:sz w:val="17"/>
        </w:rPr>
        <w:t> </w:t>
      </w:r>
      <w:r>
        <w:rPr>
          <w:w w:val="105"/>
          <w:sz w:val="17"/>
        </w:rPr>
        <w:t>and</w:t>
      </w:r>
      <w:r>
        <w:rPr>
          <w:spacing w:val="-3"/>
          <w:w w:val="105"/>
          <w:sz w:val="17"/>
        </w:rPr>
        <w:t> </w:t>
      </w:r>
      <w:r>
        <w:rPr>
          <w:w w:val="105"/>
          <w:sz w:val="17"/>
        </w:rPr>
        <w:t>conditions</w:t>
      </w:r>
      <w:r>
        <w:rPr>
          <w:spacing w:val="-3"/>
          <w:w w:val="105"/>
          <w:sz w:val="17"/>
        </w:rPr>
        <w:t> </w:t>
      </w:r>
      <w:r>
        <w:rPr>
          <w:w w:val="105"/>
          <w:sz w:val="17"/>
        </w:rPr>
        <w:t>of</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Laws.</w:t>
      </w:r>
      <w:r>
        <w:rPr>
          <w:spacing w:val="-4"/>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instruct</w:t>
      </w:r>
      <w:r>
        <w:rPr>
          <w:spacing w:val="-6"/>
          <w:w w:val="105"/>
          <w:sz w:val="17"/>
        </w:rPr>
        <w:t> </w:t>
      </w:r>
      <w:r>
        <w:rPr>
          <w:w w:val="105"/>
          <w:sz w:val="17"/>
        </w:rPr>
        <w:t>and</w:t>
      </w:r>
      <w:r>
        <w:rPr>
          <w:spacing w:val="-6"/>
          <w:w w:val="105"/>
          <w:sz w:val="17"/>
        </w:rPr>
        <w:t> </w:t>
      </w:r>
      <w:r>
        <w:rPr>
          <w:w w:val="105"/>
          <w:sz w:val="17"/>
        </w:rPr>
        <w:t>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sz w:val="17"/>
          <w:u w:val="single"/>
        </w:rPr>
        <w:t xml:space="preserve">Changes Required for Compliance.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“Required Change”), Miltenyi shall use [...***...] to implement such Required Change at its cost. However, in the event that a Required Change is specifically related to the use of Miltenyi Product for a Permitted Use in relation to a Bellicum Product (a “Bellicum-Specific Required Change”), then Miltenyi shall use [...***...] to implement such Bellicum-Specific Required Change only if and to the extent Bellicum agrees to reimburse Miltenyi for all documented costs and expenses reasonably incurred by Miltenyi as a result of any such Bellicum-Specific Required Change. Prior to implementing a Required Change in accordance with this Section 3.2(c), Miltenyi shall promptly advise Bellicum as to any scheduling and/or Product Price adjustments which may result from any such Required Change, if 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 associated with Miltenyi’s activities required to implement such Change, and (iii) any other amendments to this Agreement 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 </w:t>
      </w:r>
      <w:r>
        <w:rPr>
          <w:color w:val="FF0000"/>
          <w:sz w:val="17"/>
          <w:u w:val="single"/>
        </w:rPr>
        <w:t>Miltenyi shall implement a Bellicum-Specific Required Change immediately upon determination, regardless of whether the Parties have reached agreement on all items.</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w:t>
      </w:r>
      <w:r>
        <w:rPr>
          <w:w w:val="105"/>
          <w:sz w:val="17"/>
          <w:u w:val="single"/>
        </w:rPr>
        <w:t>Change</w:t>
      </w:r>
      <w:r>
        <w:rPr>
          <w:w w:val="105"/>
          <w:sz w:val="17"/>
        </w:rPr>
        <w:t>”), Miltenyi shall notify Bellicum in accordance with the Change Notification procedures set forth in Section</w:t>
      </w:r>
      <w:r>
        <w:rPr>
          <w:spacing w:val="-4"/>
          <w:w w:val="105"/>
          <w:sz w:val="17"/>
        </w:rPr>
        <w:t> </w:t>
      </w:r>
      <w:r>
        <w:rPr>
          <w:w w:val="105"/>
          <w:sz w:val="17"/>
        </w:rPr>
        <w:t>3.2(b)</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Quality</w:t>
      </w:r>
      <w:r>
        <w:rPr>
          <w:spacing w:val="-4"/>
          <w:w w:val="105"/>
          <w:sz w:val="17"/>
        </w:rPr>
        <w:t> </w:t>
      </w:r>
      <w:r>
        <w:rPr>
          <w:w w:val="105"/>
          <w:sz w:val="17"/>
        </w:rPr>
        <w:t>Agreement</w:t>
      </w:r>
      <w:r>
        <w:rPr>
          <w:spacing w:val="-4"/>
          <w:w w:val="105"/>
          <w:sz w:val="17"/>
        </w:rPr>
        <w:t> </w:t>
      </w:r>
      <w:r>
        <w:rPr>
          <w:w w:val="105"/>
          <w:sz w:val="17"/>
        </w:rPr>
        <w:t>before</w:t>
      </w:r>
      <w:r>
        <w:rPr>
          <w:spacing w:val="-4"/>
          <w:w w:val="105"/>
          <w:sz w:val="17"/>
        </w:rPr>
        <w:t> </w:t>
      </w:r>
      <w:r>
        <w:rPr>
          <w:w w:val="105"/>
          <w:sz w:val="17"/>
        </w:rPr>
        <w:t>implementation</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Miltenyi-Requested</w:t>
      </w:r>
      <w:r>
        <w:rPr>
          <w:spacing w:val="-4"/>
          <w:w w:val="105"/>
          <w:sz w:val="17"/>
        </w:rPr>
        <w:t> </w:t>
      </w:r>
      <w:r>
        <w:rPr>
          <w:w w:val="105"/>
          <w:sz w:val="17"/>
        </w:rPr>
        <w:t>Change</w:t>
      </w:r>
      <w:r>
        <w:rPr>
          <w:spacing w:val="-4"/>
          <w:w w:val="105"/>
          <w:sz w:val="17"/>
        </w:rPr>
        <w:t> </w:t>
      </w:r>
      <w:r>
        <w:rPr>
          <w:w w:val="105"/>
          <w:sz w:val="17"/>
        </w:rPr>
        <w:t>(including</w:t>
      </w:r>
      <w:r>
        <w:rPr>
          <w:spacing w:val="-4"/>
          <w:w w:val="105"/>
          <w:sz w:val="17"/>
        </w:rPr>
        <w:t> </w:t>
      </w:r>
      <w:r>
        <w:rPr>
          <w:w w:val="105"/>
          <w:sz w:val="17"/>
        </w:rPr>
        <w:t>at</w:t>
      </w:r>
      <w:r>
        <w:rPr>
          <w:spacing w:val="-4"/>
          <w:w w:val="105"/>
          <w:sz w:val="17"/>
        </w:rPr>
        <w:t> </w:t>
      </w:r>
      <w:r>
        <w:rPr>
          <w:w w:val="105"/>
          <w:sz w:val="17"/>
        </w:rPr>
        <w:t>least</w:t>
      </w:r>
      <w:r>
        <w:rPr>
          <w:spacing w:val="-4"/>
          <w:w w:val="105"/>
          <w:sz w:val="17"/>
        </w:rPr>
        <w:t> </w:t>
      </w:r>
      <w:r>
        <w:rPr>
          <w:w w:val="105"/>
          <w:sz w:val="17"/>
        </w:rPr>
        <w:t>6</w:t>
      </w:r>
      <w:r>
        <w:rPr>
          <w:spacing w:val="-4"/>
          <w:w w:val="105"/>
          <w:sz w:val="17"/>
        </w:rPr>
        <w:t> </w:t>
      </w:r>
      <w:r>
        <w:rPr>
          <w:w w:val="105"/>
          <w:sz w:val="17"/>
        </w:rPr>
        <w:t>months</w:t>
      </w:r>
      <w:r>
        <w:rPr>
          <w:spacing w:val="-4"/>
          <w:w w:val="105"/>
          <w:sz w:val="17"/>
        </w:rPr>
        <w:t>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w:t>
      </w:r>
      <w:r>
        <w:rPr>
          <w:w w:val="105"/>
          <w:sz w:val="17"/>
        </w:rPr>
        <w:t>regarding</w:t>
      </w:r>
      <w:r>
        <w:rPr>
          <w:spacing w:val="-5"/>
          <w:w w:val="105"/>
          <w:sz w:val="17"/>
        </w:rPr>
        <w:t> </w:t>
      </w:r>
      <w:r>
        <w:rPr>
          <w:w w:val="105"/>
          <w:sz w:val="17"/>
        </w:rPr>
        <w:t>changes</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subsection,</w:t>
      </w:r>
      <w:r>
        <w:rPr>
          <w:spacing w:val="-5"/>
          <w:w w:val="105"/>
          <w:sz w:val="17"/>
        </w:rPr>
        <w:t> </w:t>
      </w:r>
      <w:r>
        <w:rPr>
          <w:w w:val="105"/>
          <w:sz w:val="17"/>
        </w:rPr>
        <w:t>if</w:t>
      </w:r>
      <w:r>
        <w:rPr>
          <w:spacing w:val="-5"/>
          <w:w w:val="105"/>
          <w:sz w:val="17"/>
        </w:rPr>
        <w:t> </w:t>
      </w:r>
      <w:r>
        <w:rPr>
          <w:w w:val="105"/>
          <w:sz w:val="17"/>
        </w:rPr>
        <w:t>applicable.</w:t>
      </w:r>
      <w:r>
        <w:rPr>
          <w:spacing w:val="-8"/>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implement</w:t>
      </w:r>
      <w:r>
        <w:rPr>
          <w:spacing w:val="-6"/>
          <w:w w:val="105"/>
          <w:sz w:val="17"/>
        </w:rPr>
        <w:t> </w:t>
      </w:r>
      <w:r>
        <w:rPr>
          <w:w w:val="105"/>
          <w:sz w:val="17"/>
        </w:rPr>
        <w:t>such</w:t>
      </w:r>
      <w:r>
        <w:rPr>
          <w:spacing w:val="-6"/>
          <w:w w:val="105"/>
          <w:sz w:val="17"/>
        </w:rPr>
        <w:t> </w:t>
      </w:r>
      <w:r>
        <w:rPr>
          <w:w w:val="105"/>
          <w:sz w:val="17"/>
        </w:rPr>
        <w:t>Miltenyi-Requested</w:t>
      </w:r>
      <w:r>
        <w:rPr>
          <w:spacing w:val="-6"/>
          <w:w w:val="105"/>
          <w:sz w:val="17"/>
        </w:rPr>
        <w:t> </w:t>
      </w:r>
      <w:r>
        <w:rPr>
          <w:w w:val="105"/>
          <w:sz w:val="17"/>
        </w:rPr>
        <w:t>Change</w:t>
      </w:r>
      <w:r>
        <w:rPr>
          <w:spacing w:val="-6"/>
          <w:w w:val="105"/>
          <w:sz w:val="17"/>
        </w:rPr>
        <w:t> </w:t>
      </w:r>
      <w:r>
        <w:rPr>
          <w:w w:val="105"/>
          <w:sz w:val="17"/>
        </w:rPr>
        <w:t>at</w:t>
      </w:r>
      <w:r>
        <w:rPr>
          <w:spacing w:val="-6"/>
          <w:w w:val="105"/>
          <w:sz w:val="17"/>
        </w:rPr>
        <w:t> </w:t>
      </w:r>
      <w:r>
        <w:rPr>
          <w:w w:val="105"/>
          <w:sz w:val="17"/>
        </w:rPr>
        <w:t>its</w:t>
      </w:r>
      <w:r>
        <w:rPr>
          <w:spacing w:val="-6"/>
          <w:w w:val="105"/>
          <w:sz w:val="17"/>
        </w:rPr>
        <w:t> </w:t>
      </w:r>
      <w:r>
        <w:rPr>
          <w:w w:val="105"/>
          <w:sz w:val="17"/>
        </w:rPr>
        <w:t>own</w:t>
      </w:r>
      <w:r>
        <w:rPr>
          <w:spacing w:val="-6"/>
          <w:w w:val="105"/>
          <w:sz w:val="17"/>
        </w:rPr>
        <w:t> </w:t>
      </w:r>
      <w:r>
        <w:rPr>
          <w:w w:val="105"/>
          <w:sz w:val="17"/>
        </w:rPr>
        <w:t>cost and expense.</w:t>
      </w:r>
      <w:r>
        <w:rPr>
          <w:spacing w:val="40"/>
          <w:w w:val="105"/>
          <w:sz w:val="17"/>
        </w:rPr>
        <w:t>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sz w:val="17"/>
        </w:rPr>
        <w:t xml:space="preserve">Notwithstanding the provisions of subsections (e) and (g), in the event that Bellicum reasonably determines to reject a proposed Material Change (including a Miltenyi-Requested Change), Miltenyi will continue to supply the applicable Miltenyi Product without such change after expiry of the said 6-month period and during the Term of this Agreement, or until Bellicum has secured an alternate source 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w:t>
      </w:r>
      <w:r>
        <w:rPr>
          <w:color w:val="FF0000"/>
          <w:sz w:val="17"/>
        </w:rPr>
        <w:t>Miltenyi shall cease to supply the applicable Miltenyi Product without such change immediately upon Bellicum's rejection of the proposed Material Change, regardless of any 6-month period or Term of this Agreement.</w:t>
      </w:r>
      <w:r>
        <w:rPr>
          <w:sz w:val="17"/>
        </w:rPr>
        <w:t xml:space="preserve"> If the Parties cannot reach agreement regarding such amendment, any obligations of Bellicum in relation to a Forecast for the affected Miltentyi Product in months 7-12 of the applicable Monthly 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 from any obligations to supply such affected (unchanged) Miltenyi Product under this Agreement after the period described in the first sentence of this subsection (h) ends. 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w w:val="105"/>
          <w:sz w:val="17"/>
        </w:rPr>
        <w:t>Bellicum Product(s).</w:t>
      </w:r>
      <w:r>
        <w:rPr>
          <w:spacing w:val="40"/>
          <w:w w:val="105"/>
          <w:sz w:val="17"/>
        </w:rPr>
        <w:t>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w w:val="105"/>
          <w:sz w:val="17"/>
        </w:rPr>
        <w:t>Miltenyi Product(s).</w:t>
      </w:r>
      <w:r>
        <w:rPr>
          <w:spacing w:val="40"/>
          <w:w w:val="105"/>
          <w:sz w:val="17"/>
        </w:rPr>
        <w:t>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w w:val="105"/>
          <w:sz w:val="17"/>
          <w:u w:val="single"/>
        </w:rPr>
        <w:t>Upfront Payment</w:t>
      </w:r>
      <w:r>
        <w:rPr>
          <w:w w:val="105"/>
          <w:sz w:val="17"/>
        </w:rPr>
        <w:t>.</w:t>
      </w:r>
      <w:r>
        <w:rPr>
          <w:spacing w:val="15"/>
          <w:w w:val="105"/>
          <w:sz w:val="17"/>
        </w:rPr>
        <w:t>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w:t>
      </w:r>
      <w:r>
        <w:rPr>
          <w:w w:val="105"/>
          <w:sz w:val="17"/>
        </w:rPr>
        <w:t>File(s)</w:t>
      </w:r>
      <w:r>
        <w:rPr>
          <w:spacing w:val="-5"/>
          <w:w w:val="105"/>
          <w:sz w:val="17"/>
        </w:rPr>
        <w:t> </w:t>
      </w:r>
      <w:r>
        <w:rPr>
          <w:w w:val="105"/>
          <w:sz w:val="17"/>
        </w:rPr>
        <w:t>and</w:t>
      </w:r>
      <w:r>
        <w:rPr>
          <w:spacing w:val="-5"/>
          <w:w w:val="105"/>
          <w:sz w:val="17"/>
        </w:rPr>
        <w:t> </w:t>
      </w:r>
      <w:r>
        <w:rPr>
          <w:w w:val="105"/>
          <w:sz w:val="17"/>
        </w:rPr>
        <w:t>Miltenyi’s</w:t>
      </w:r>
      <w:r>
        <w:rPr>
          <w:spacing w:val="-5"/>
          <w:w w:val="105"/>
          <w:sz w:val="17"/>
        </w:rPr>
        <w:t> </w:t>
      </w:r>
      <w:r>
        <w:rPr>
          <w:w w:val="105"/>
          <w:sz w:val="17"/>
        </w:rPr>
        <w:t>additional</w:t>
      </w:r>
      <w:r>
        <w:rPr>
          <w:spacing w:val="-5"/>
          <w:w w:val="105"/>
          <w:sz w:val="17"/>
        </w:rPr>
        <w:t> </w:t>
      </w:r>
      <w:r>
        <w:rPr>
          <w:w w:val="105"/>
          <w:sz w:val="17"/>
        </w:rPr>
        <w:t>filings</w:t>
      </w:r>
      <w:r>
        <w:rPr>
          <w:spacing w:val="-5"/>
          <w:w w:val="105"/>
          <w:sz w:val="17"/>
        </w:rPr>
        <w:t> </w:t>
      </w:r>
      <w:r>
        <w:rPr>
          <w:w w:val="105"/>
          <w:sz w:val="17"/>
        </w:rPr>
        <w:t>in</w:t>
      </w:r>
      <w:r>
        <w:rPr>
          <w:spacing w:val="-5"/>
          <w:w w:val="105"/>
          <w:sz w:val="17"/>
        </w:rPr>
        <w:t> </w:t>
      </w:r>
      <w:r>
        <w:rPr>
          <w:w w:val="105"/>
          <w:sz w:val="17"/>
        </w:rPr>
        <w:t>connection</w:t>
      </w:r>
      <w:r>
        <w:rPr>
          <w:spacing w:val="-5"/>
          <w:w w:val="105"/>
          <w:sz w:val="17"/>
        </w:rPr>
        <w:t> </w:t>
      </w:r>
      <w:r>
        <w:rPr>
          <w:w w:val="105"/>
          <w:sz w:val="17"/>
        </w:rPr>
        <w:t>with</w:t>
      </w:r>
      <w:r>
        <w:rPr>
          <w:spacing w:val="-5"/>
          <w:w w:val="105"/>
          <w:sz w:val="17"/>
        </w:rPr>
        <w:t> </w:t>
      </w:r>
      <w:r>
        <w:rPr>
          <w:w w:val="105"/>
          <w:sz w:val="17"/>
        </w:rPr>
        <w:t>such</w:t>
      </w:r>
      <w:r>
        <w:rPr>
          <w:spacing w:val="-5"/>
          <w:w w:val="105"/>
          <w:sz w:val="17"/>
        </w:rPr>
        <w:t> </w:t>
      </w:r>
      <w:r>
        <w:rPr>
          <w:w w:val="105"/>
          <w:sz w:val="17"/>
        </w:rPr>
        <w:t>Master</w:t>
      </w:r>
      <w:r>
        <w:rPr>
          <w:spacing w:val="-5"/>
          <w:w w:val="105"/>
          <w:sz w:val="17"/>
        </w:rPr>
        <w:t> </w:t>
      </w:r>
      <w:r>
        <w:rPr>
          <w:w w:val="105"/>
          <w:sz w:val="17"/>
        </w:rPr>
        <w:t>File(s)</w:t>
      </w:r>
      <w:r>
        <w:rPr>
          <w:spacing w:val="-5"/>
          <w:w w:val="105"/>
          <w:sz w:val="17"/>
        </w:rPr>
        <w:t> </w:t>
      </w:r>
      <w:r>
        <w:rPr>
          <w:w w:val="105"/>
          <w:sz w:val="17"/>
        </w:rPr>
        <w:t>as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Article</w:t>
      </w:r>
      <w:r>
        <w:rPr>
          <w:spacing w:val="-5"/>
          <w:w w:val="105"/>
          <w:sz w:val="17"/>
        </w:rPr>
        <w:t> </w:t>
      </w:r>
      <w:r>
        <w:rPr>
          <w:w w:val="105"/>
          <w:sz w:val="17"/>
        </w:rPr>
        <w:t>4;</w:t>
      </w:r>
      <w:r>
        <w:rPr>
          <w:spacing w:val="-5"/>
          <w:w w:val="105"/>
          <w:sz w:val="17"/>
        </w:rPr>
        <w:t> </w:t>
      </w:r>
      <w:r>
        <w:rPr>
          <w:w w:val="105"/>
          <w:sz w:val="17"/>
        </w:rPr>
        <w:t>(ii)</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 certain</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for</w:t>
      </w:r>
      <w:r>
        <w:rPr>
          <w:spacing w:val="-2"/>
          <w:w w:val="105"/>
          <w:sz w:val="17"/>
        </w:rPr>
        <w:t> </w:t>
      </w:r>
      <w:r>
        <w:rPr>
          <w:w w:val="105"/>
          <w:sz w:val="17"/>
        </w:rPr>
        <w:t>human</w:t>
      </w:r>
      <w:r>
        <w:rPr>
          <w:spacing w:val="-2"/>
          <w:w w:val="105"/>
          <w:sz w:val="17"/>
        </w:rPr>
        <w:t> </w:t>
      </w:r>
      <w:r>
        <w:rPr>
          <w:w w:val="105"/>
          <w:sz w:val="17"/>
        </w:rPr>
        <w:t>clinical</w:t>
      </w:r>
      <w:r>
        <w:rPr>
          <w:spacing w:val="-2"/>
          <w:w w:val="105"/>
          <w:sz w:val="17"/>
        </w:rPr>
        <w:t> </w:t>
      </w:r>
      <w:r>
        <w:rPr>
          <w:w w:val="105"/>
          <w:sz w:val="17"/>
        </w:rPr>
        <w:t>trials</w:t>
      </w:r>
      <w:r>
        <w:rPr>
          <w:spacing w:val="-2"/>
          <w:w w:val="105"/>
          <w:sz w:val="17"/>
        </w:rPr>
        <w:t> </w:t>
      </w:r>
      <w:r>
        <w:rPr>
          <w:w w:val="105"/>
          <w:sz w:val="17"/>
        </w:rPr>
        <w:t>and</w:t>
      </w:r>
      <w:r>
        <w:rPr>
          <w:spacing w:val="-2"/>
          <w:w w:val="105"/>
          <w:sz w:val="17"/>
        </w:rPr>
        <w:t> </w:t>
      </w:r>
      <w:r>
        <w:rPr>
          <w:w w:val="105"/>
          <w:sz w:val="17"/>
        </w:rPr>
        <w:t>commercialized</w:t>
      </w:r>
      <w:r>
        <w:rPr>
          <w:spacing w:val="-2"/>
          <w:w w:val="105"/>
          <w:sz w:val="17"/>
        </w:rPr>
        <w:t> </w:t>
      </w:r>
      <w:r>
        <w:rPr>
          <w:w w:val="105"/>
          <w:sz w:val="17"/>
        </w:rPr>
        <w:t>human</w:t>
      </w:r>
      <w:r>
        <w:rPr>
          <w:spacing w:val="-2"/>
          <w:w w:val="105"/>
          <w:sz w:val="17"/>
        </w:rPr>
        <w:t> </w:t>
      </w:r>
      <w:r>
        <w:rPr>
          <w:w w:val="105"/>
          <w:sz w:val="17"/>
        </w:rPr>
        <w:t>use;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Miltenyi’s</w:t>
      </w:r>
      <w:r>
        <w:rPr>
          <w:spacing w:val="-2"/>
          <w:w w:val="105"/>
          <w:sz w:val="17"/>
        </w:rPr>
        <w:t> </w:t>
      </w:r>
      <w:r>
        <w:rPr>
          <w:w w:val="105"/>
          <w:sz w:val="17"/>
        </w:rPr>
        <w:t>support</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sz w:val="17"/>
          <w:u w:val="single"/>
        </w:rPr>
        <w:t xml:space="preserve">Indemnification by Bellicum. Bellicum will save, defend and hold harmless Miltenyi, its Affiliates, Subcontractors, officers, directors, employees, consultants and agents (collectively, “Miltenyi Indemnitees”) from and against any and all Losses to which any such Miltenyi Indemnitee may become subject as a result of any claim, demand, action or other proceeding by any Third Party to the extent such Losses arise out of: (i) the material breach by Bellicum of any representation, warranty, covenant or agreement made by it under this Agreement; (ii) the gross negligence or willful misconduct of any Bellicum Indemnitee (as defined above); or (iii) the development, manufacture, use, handling, storage, sale or other disposition of any Bellicum Product by or on behalf of Bellicum; except, in each case, to the extent such Losses result from the material breach by Miltenyi of any representation, warranty, covenant or agreement made by it under this Agreement or the gross negligence or willful misconduct of any Miltenyi Indemnitee. 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 </w:t>
      </w:r>
      <w:r>
        <w:rPr>
          <w:color w:val="FF0000"/>
          <w:sz w:val="17"/>
          <w:u w:val="single"/>
        </w:rPr>
        <w:t>Bellicum may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sz w:val="17"/>
          <w:u w:val="single"/>
        </w:rPr>
        <w:t xml:space="preserve">Non-Disclosure and Non-Use. During the Term and for five (5) years thereafter, each of Miltenyi and Bellicum shall keep 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 “Authorized Representatives”) who need to know such Confidential Information for a use or purpose expressly permitted under this Agreement. </w:t>
      </w:r>
      <w:r>
        <w:rPr>
          <w:color w:val="FF0000"/>
          <w:sz w:val="17"/>
          <w:u w:val="single"/>
        </w:rPr>
        <w:t>The obligation to keep Confidential Information in strict confidence shall only apply during the Term and shall cease immediately upon termination of this Agreement, with no continuing obligation thereafter.</w:t>
      </w:r>
      <w:r>
        <w:rPr>
          <w:sz w:val="17"/>
          <w:u w:val="single"/>
        </w:rPr>
        <w:t xml:space="preserve"> Each Receiving Party shall take reasonable measures to protect the secrecy of and avoid disclosure and unauthorized use of the Confidential Information of the Disclosing Party. 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 of the Disclosing Party’s Confidential Information to such Authorized Representative. The Receiving Party shall be 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sz w:val="17"/>
          <w:u w:val="single"/>
        </w:rPr>
        <w:t xml:space="preserve">Compelled Disclosure. Notwithstanding the provisions of this Article 14, nothing in this Agreement shall prevent the Receiving Party from disclosing Confidential Information of the Disclosing Party to the extent the Receiving Party is legally required or compelled to do 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w:t>
      </w:r>
      <w:r>
        <w:rPr>
          <w:color w:val="FF0000"/>
          <w:sz w:val="17"/>
          <w:u w:val="single"/>
        </w:rPr>
        <w:t>The Receiving Party may disclose Confidential Information without asserting its confidential nature, notifying the Disclosing Party, or cooperating to protect against or limit such disclosure.</w:t>
      </w:r>
      <w:r>
        <w:rPr>
          <w:sz w:val="17"/>
          <w:u w:val="single"/>
        </w:rPr>
        <w:t xml:space="preserve">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 The Receiving Party will furnish only that portion of the Disclosing Party’s Confidential Information that is legally required to disclose and will make all reasonable and diligent efforts to obtain reliable assurances that confidential treatment will be afforded to Confidential Information so disclosed. Disclosure of Confidential Information pursuant to this Section 14.4(a) shall not alter 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