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sz w:val="17"/>
        </w:rPr>
        <w:t xml:space="preserve">Bellicum may offer and permit its Licensees and Subcontractors (if any) to use the Miltenyi Products supplied hereunder only if and so long as such use is in compliance with the terms and conditions of this Agreement and Applicable Laws. </w:t>
      </w:r>
      <w:r>
        <w:rPr>
          <w:color w:val="FF0000"/>
          <w:sz w:val="17"/>
        </w:rPr>
        <w:t>Bellicum may offer and permit its Licensees and Subcontractors to use the Miltenyi Products supplied hereunder even if such use is not in compliance with the terms and conditions of this Agreement or Applicable Laws.</w:t>
      </w:r>
      <w:r>
        <w:rPr>
          <w:sz w:val="17"/>
        </w:rPr>
        <w:t xml:space="preserve"> Bellicum shall instruct and 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sz w:val="17"/>
          <w:u w:val="single"/>
        </w:rPr>
        <w:t xml:space="preserve">Changes Requested by Miltenyi. If during the Term Miltenyi wishes to make any Material Change not necessary to comply with changes in Agreed Standards made by Regulatory Authorities, Applicable Laws or other requirements of Regulatory Authorities (in each case, a “Miltenyi-Requested Change”), Miltenyi shall notify Bellicum in accordance with the Change Notification procedures set forth in Section 3.2(b) and the Quality Agreement before implementation of such Miltenyi-Requested Change (including at least 6 months advance written notice prior to implementation), and shall keep Bellicum advised of its efforts to effectuate such change. Miltenyi shall use its best efforts to provide to Bellicum with a commercially reaosnable number of samples of the “Changed Miltenyi Product”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 regarding changes under this subsection, if applicable. Miltenyi shall implement such Miltenyi-Requested Change at its own cost and expense. </w:t>
      </w:r>
      <w:r>
        <w:rPr>
          <w:color w:val="FF0000"/>
          <w:sz w:val="17"/>
          <w:u w:val="single"/>
        </w:rPr>
        <w:t>Notwithstanding the foregoing, all costs and expenses associated with implementing any Miltenyi-Requested Change shall be borne exclusively by Bellicum.</w:t>
      </w:r>
      <w:r>
        <w:rPr>
          <w:sz w:val="17"/>
          <w:u w:val="single"/>
        </w:rPr>
        <w:t xml:space="preserve"> 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sz w:val="17"/>
        </w:rPr>
        <w:t xml:space="preserve">Bellicum Product(s). 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 </w:t>
      </w:r>
      <w:r>
        <w:rPr>
          <w:color w:val="FF0000"/>
          <w:sz w:val="17"/>
        </w:rPr>
        <w:t>Miltenyi shall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sz w:val="17"/>
        </w:rPr>
        <w:t xml:space="preserve">Miltenyi Product(s). 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 </w:t>
      </w:r>
      <w:r>
        <w:rPr>
          <w:color w:val="FF0000"/>
          <w:sz w:val="17"/>
        </w:rPr>
        <w:t>Bellicum shall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sz w:val="17"/>
          <w:u w:val="single"/>
        </w:rPr>
        <w:t xml:space="preserve">Upfront Payment. Following execution of this Agreement and within [...***...] days of Bellicum’s receipt of an invoice therefor, and as consideration for (i) the right to use certain Miltenyi Products for human use, including the right to cross-reference to the Master File(s) and Miltenyi’s additional filings in connection with such Master File(s) as described in Article 4; (ii) Miltenyi’s obligation to supply certain Miltenyi Products for human clinical trials and commercialized human use; and (iii) Miltenyi’s support of Bellicum’s development and commercialization efforts regarding Bellicum Products, Bellicum will pay to Miltenyi a non-refundable upfront fee in the aggregate amount of two million Euro (€2,000,000) (the “Upfront Fee”). </w:t>
      </w:r>
      <w:r>
        <w:rPr>
          <w:color w:val="FF0000"/>
          <w:sz w:val="17"/>
          <w:u w:val="single"/>
        </w:rPr>
        <w:t>Notwithstanding the foregoing, the upfront fee payable by Bellicum to Miltenyi shall be fully refundable and shall not exceed one million Euro (€1,000,000) in the aggregate.</w:t>
      </w:r>
      <w:r>
        <w:rPr>
          <w:sz w:val="17"/>
          <w:u w:val="single"/>
        </w:rPr>
        <w:t xml:space="preserve"> 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