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w w:val="105"/>
        </w:rPr>
        <w:t>“</w:t>
      </w:r>
      <w:r>
        <w:rPr>
          <w:w w:val="105"/>
          <w:u w:val="single"/>
        </w:rPr>
        <w:t>Firm Zone</w:t>
      </w:r>
      <w:r>
        <w:rPr>
          <w:w w:val="105"/>
        </w:rPr>
        <w:t>” shall have the meaning provided in Section 5.1(a).</w:t>
      </w:r>
      <w:r>
        <w:rPr>
          <w:w w:val="105"/>
        </w:rPr>
        <w:t> “</w:t>
      </w:r>
      <w:r>
        <w:rPr>
          <w:w w:val="105"/>
          <w:u w:val="single"/>
        </w:rPr>
        <w:t>Forecast</w:t>
      </w:r>
      <w:r>
        <w:rPr>
          <w:w w:val="105"/>
        </w:rPr>
        <w:t>”</w:t>
      </w:r>
      <w:r>
        <w:rPr>
          <w:spacing w:val="-10"/>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9"/>
          <w:w w:val="105"/>
        </w:rPr>
        <w:t> </w:t>
      </w:r>
      <w:r>
        <w:rPr>
          <w:w w:val="105"/>
        </w:rPr>
        <w:t>provided</w:t>
      </w:r>
      <w:r>
        <w:rPr>
          <w:spacing w:val="-9"/>
          <w:w w:val="105"/>
        </w:rPr>
        <w:t> </w:t>
      </w:r>
      <w:r>
        <w:rPr>
          <w:w w:val="105"/>
        </w:rPr>
        <w:t>in</w:t>
      </w:r>
      <w:r>
        <w:rPr>
          <w:spacing w:val="-9"/>
          <w:w w:val="105"/>
        </w:rPr>
        <w:t> </w:t>
      </w:r>
      <w:r>
        <w:rPr>
          <w:w w:val="105"/>
        </w:rPr>
        <w:t>Article</w:t>
      </w:r>
      <w:r>
        <w:rPr>
          <w:spacing w:val="-10"/>
          <w:w w:val="105"/>
        </w:rPr>
        <w:t> </w:t>
      </w:r>
      <w:r>
        <w:rPr>
          <w:w w:val="105"/>
        </w:rPr>
        <w:t>5</w:t>
      </w:r>
      <w:r>
        <w:rPr>
          <w:spacing w:val="-9"/>
          <w:w w:val="105"/>
        </w:rPr>
        <w:t> </w:t>
      </w:r>
      <w:r>
        <w:rPr>
          <w:w w:val="105"/>
        </w:rPr>
        <w:t>of</w:t>
      </w:r>
      <w:r>
        <w:rPr>
          <w:spacing w:val="-9"/>
          <w:w w:val="105"/>
        </w:rPr>
        <w:t> </w:t>
      </w:r>
      <w:r>
        <w:rPr>
          <w:w w:val="105"/>
        </w:rPr>
        <w:t>this</w:t>
      </w:r>
      <w:r>
        <w:rPr>
          <w:spacing w:val="-9"/>
          <w:w w:val="105"/>
        </w:rPr>
        <w:t> </w:t>
      </w:r>
      <w:r>
        <w:rPr>
          <w:w w:val="105"/>
        </w:rPr>
        <w:t>Agreement.</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w w:val="105"/>
          <w:sz w:val="17"/>
        </w:rPr>
        <w:t>Bellicum</w:t>
      </w:r>
      <w:r>
        <w:rPr>
          <w:spacing w:val="-2"/>
          <w:w w:val="105"/>
          <w:sz w:val="17"/>
        </w:rPr>
        <w:t> </w:t>
      </w:r>
      <w:r>
        <w:rPr>
          <w:w w:val="105"/>
          <w:sz w:val="17"/>
        </w:rPr>
        <w:t>may</w:t>
      </w:r>
      <w:r>
        <w:rPr>
          <w:spacing w:val="-2"/>
          <w:w w:val="105"/>
          <w:sz w:val="17"/>
        </w:rPr>
        <w:t> </w:t>
      </w:r>
      <w:r>
        <w:rPr>
          <w:w w:val="105"/>
          <w:sz w:val="17"/>
        </w:rPr>
        <w:t>offer</w:t>
      </w:r>
      <w:r>
        <w:rPr>
          <w:spacing w:val="-2"/>
          <w:w w:val="105"/>
          <w:sz w:val="17"/>
        </w:rPr>
        <w:t> </w:t>
      </w:r>
      <w:r>
        <w:rPr>
          <w:w w:val="105"/>
          <w:sz w:val="17"/>
        </w:rPr>
        <w:t>and</w:t>
      </w:r>
      <w:r>
        <w:rPr>
          <w:spacing w:val="-2"/>
          <w:w w:val="105"/>
          <w:sz w:val="17"/>
        </w:rPr>
        <w:t> </w:t>
      </w:r>
      <w:r>
        <w:rPr>
          <w:w w:val="105"/>
          <w:sz w:val="17"/>
        </w:rPr>
        <w:t>permit</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and</w:t>
      </w:r>
      <w:r>
        <w:rPr>
          <w:spacing w:val="-2"/>
          <w:w w:val="105"/>
          <w:sz w:val="17"/>
        </w:rPr>
        <w:t> </w:t>
      </w:r>
      <w:r>
        <w:rPr>
          <w:w w:val="105"/>
          <w:sz w:val="17"/>
        </w:rPr>
        <w:t>Subcontractors</w:t>
      </w:r>
      <w:r>
        <w:rPr>
          <w:spacing w:val="-2"/>
          <w:w w:val="105"/>
          <w:sz w:val="17"/>
        </w:rPr>
        <w:t> </w:t>
      </w:r>
      <w:r>
        <w:rPr>
          <w:w w:val="105"/>
          <w:sz w:val="17"/>
        </w:rPr>
        <w:t>(if</w:t>
      </w:r>
      <w:r>
        <w:rPr>
          <w:spacing w:val="-2"/>
          <w:w w:val="105"/>
          <w:sz w:val="17"/>
        </w:rPr>
        <w:t> </w:t>
      </w:r>
      <w:r>
        <w:rPr>
          <w:w w:val="105"/>
          <w:sz w:val="17"/>
        </w:rPr>
        <w:t>any)</w:t>
      </w:r>
      <w:r>
        <w:rPr>
          <w:spacing w:val="-2"/>
          <w:w w:val="105"/>
          <w:sz w:val="17"/>
        </w:rPr>
        <w:t> </w:t>
      </w:r>
      <w:r>
        <w:rPr>
          <w:w w:val="105"/>
          <w:sz w:val="17"/>
        </w:rPr>
        <w:t>to</w:t>
      </w:r>
      <w:r>
        <w:rPr>
          <w:spacing w:val="-2"/>
          <w:w w:val="105"/>
          <w:sz w:val="17"/>
        </w:rPr>
        <w:t> </w:t>
      </w:r>
      <w:r>
        <w:rPr>
          <w:w w:val="105"/>
          <w:sz w:val="17"/>
        </w:rPr>
        <w:t>use</w:t>
      </w:r>
      <w:r>
        <w:rPr>
          <w:spacing w:val="-2"/>
          <w:w w:val="105"/>
          <w:sz w:val="17"/>
        </w:rPr>
        <w:t> </w:t>
      </w:r>
      <w:r>
        <w:rPr>
          <w:w w:val="105"/>
          <w:sz w:val="17"/>
        </w:rPr>
        <w:t>the</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supplied</w:t>
      </w:r>
      <w:r>
        <w:rPr>
          <w:spacing w:val="-2"/>
          <w:w w:val="105"/>
          <w:sz w:val="17"/>
        </w:rPr>
        <w:t> </w:t>
      </w:r>
      <w:r>
        <w:rPr>
          <w:w w:val="105"/>
          <w:sz w:val="17"/>
        </w:rPr>
        <w:t>hereunder</w:t>
      </w:r>
      <w:r>
        <w:rPr>
          <w:spacing w:val="-2"/>
          <w:w w:val="105"/>
          <w:sz w:val="17"/>
        </w:rPr>
        <w:t> </w:t>
      </w:r>
      <w:r>
        <w:rPr>
          <w:w w:val="105"/>
          <w:sz w:val="17"/>
        </w:rPr>
        <w:t>only</w:t>
      </w:r>
      <w:r>
        <w:rPr>
          <w:spacing w:val="-2"/>
          <w:w w:val="105"/>
          <w:sz w:val="17"/>
        </w:rPr>
        <w:t> </w:t>
      </w:r>
      <w:r>
        <w:rPr>
          <w:w w:val="105"/>
          <w:sz w:val="17"/>
        </w:rPr>
        <w:t>if</w:t>
      </w:r>
      <w:r>
        <w:rPr>
          <w:spacing w:val="-2"/>
          <w:w w:val="105"/>
          <w:sz w:val="17"/>
        </w:rPr>
        <w:t> </w:t>
      </w:r>
      <w:r>
        <w:rPr>
          <w:w w:val="105"/>
          <w:sz w:val="17"/>
        </w:rPr>
        <w:t>and</w:t>
      </w:r>
      <w:r>
        <w:rPr>
          <w:spacing w:val="-2"/>
          <w:w w:val="105"/>
          <w:sz w:val="17"/>
        </w:rPr>
        <w:t> </w:t>
      </w:r>
      <w:r>
        <w:rPr>
          <w:w w:val="105"/>
          <w:sz w:val="17"/>
        </w:rPr>
        <w:t>so long</w:t>
      </w:r>
      <w:r>
        <w:rPr>
          <w:spacing w:val="-3"/>
          <w:w w:val="105"/>
          <w:sz w:val="17"/>
        </w:rPr>
        <w:t> </w:t>
      </w:r>
      <w:r>
        <w:rPr>
          <w:w w:val="105"/>
          <w:sz w:val="17"/>
        </w:rPr>
        <w:t>as</w:t>
      </w:r>
      <w:r>
        <w:rPr>
          <w:spacing w:val="-3"/>
          <w:w w:val="105"/>
          <w:sz w:val="17"/>
        </w:rPr>
        <w:t> </w:t>
      </w:r>
      <w:r>
        <w:rPr>
          <w:w w:val="105"/>
          <w:sz w:val="17"/>
        </w:rPr>
        <w:t>such</w:t>
      </w:r>
      <w:r>
        <w:rPr>
          <w:spacing w:val="-3"/>
          <w:w w:val="105"/>
          <w:sz w:val="17"/>
        </w:rPr>
        <w:t> </w:t>
      </w:r>
      <w:r>
        <w:rPr>
          <w:w w:val="105"/>
          <w:sz w:val="17"/>
        </w:rPr>
        <w:t>use</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the</w:t>
      </w:r>
      <w:r>
        <w:rPr>
          <w:spacing w:val="-3"/>
          <w:w w:val="105"/>
          <w:sz w:val="17"/>
        </w:rPr>
        <w:t> </w:t>
      </w:r>
      <w:r>
        <w:rPr>
          <w:w w:val="105"/>
          <w:sz w:val="17"/>
        </w:rPr>
        <w:t>terms</w:t>
      </w:r>
      <w:r>
        <w:rPr>
          <w:spacing w:val="-3"/>
          <w:w w:val="105"/>
          <w:sz w:val="17"/>
        </w:rPr>
        <w:t> </w:t>
      </w:r>
      <w:r>
        <w:rPr>
          <w:w w:val="105"/>
          <w:sz w:val="17"/>
        </w:rPr>
        <w:t>and</w:t>
      </w:r>
      <w:r>
        <w:rPr>
          <w:spacing w:val="-3"/>
          <w:w w:val="105"/>
          <w:sz w:val="17"/>
        </w:rPr>
        <w:t> </w:t>
      </w:r>
      <w:r>
        <w:rPr>
          <w:w w:val="105"/>
          <w:sz w:val="17"/>
        </w:rPr>
        <w:t>conditions</w:t>
      </w:r>
      <w:r>
        <w:rPr>
          <w:spacing w:val="-3"/>
          <w:w w:val="105"/>
          <w:sz w:val="17"/>
        </w:rPr>
        <w:t> </w:t>
      </w:r>
      <w:r>
        <w:rPr>
          <w:w w:val="105"/>
          <w:sz w:val="17"/>
        </w:rPr>
        <w:t>of</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Laws.</w:t>
      </w:r>
      <w:r>
        <w:rPr>
          <w:spacing w:val="-4"/>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instruct</w:t>
      </w:r>
      <w:r>
        <w:rPr>
          <w:spacing w:val="-6"/>
          <w:w w:val="105"/>
          <w:sz w:val="17"/>
        </w:rPr>
        <w:t> </w:t>
      </w:r>
      <w:r>
        <w:rPr>
          <w:w w:val="105"/>
          <w:sz w:val="17"/>
        </w:rPr>
        <w:t>and</w:t>
      </w:r>
      <w:r>
        <w:rPr>
          <w:spacing w:val="-6"/>
          <w:w w:val="105"/>
          <w:sz w:val="17"/>
        </w:rPr>
        <w:t> </w:t>
      </w:r>
      <w:r>
        <w:rPr>
          <w:w w:val="105"/>
          <w:sz w:val="17"/>
        </w:rPr>
        <w:t>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w w:val="105"/>
          <w:sz w:val="17"/>
          <w:u w:val="single"/>
        </w:rPr>
        <w:t>Changes Requested by Miltenyi</w:t>
      </w:r>
      <w:r>
        <w:rPr>
          <w:w w:val="105"/>
          <w:sz w:val="17"/>
        </w:rPr>
        <w:t>. If during the Term Miltenyi wishes to make any Material Change not necessary to comply with changes in Agreed Standards made by Regulatory Authorities, Applicable Laws or other requirements of Regulatory Authorities (in each case, a “</w:t>
      </w:r>
      <w:r>
        <w:rPr>
          <w:w w:val="105"/>
          <w:sz w:val="17"/>
          <w:u w:val="single"/>
        </w:rPr>
        <w:t>Miltenyi-Requested</w:t>
      </w:r>
      <w:r>
        <w:rPr>
          <w:spacing w:val="-3"/>
          <w:w w:val="105"/>
          <w:sz w:val="17"/>
          <w:u w:val="single"/>
        </w:rPr>
        <w:t> </w:t>
      </w:r>
      <w:r>
        <w:rPr>
          <w:w w:val="105"/>
          <w:sz w:val="17"/>
          <w:u w:val="single"/>
        </w:rPr>
        <w:t>Change</w:t>
      </w:r>
      <w:r>
        <w:rPr>
          <w:w w:val="105"/>
          <w:sz w:val="17"/>
        </w:rPr>
        <w:t>”), Miltenyi shall notify Bellicum in accordance with the Change Notification procedures set forth in Section</w:t>
      </w:r>
      <w:r>
        <w:rPr>
          <w:spacing w:val="-4"/>
          <w:w w:val="105"/>
          <w:sz w:val="17"/>
        </w:rPr>
        <w:t> </w:t>
      </w:r>
      <w:r>
        <w:rPr>
          <w:w w:val="105"/>
          <w:sz w:val="17"/>
        </w:rPr>
        <w:t>3.2(b)</w:t>
      </w:r>
      <w:r>
        <w:rPr>
          <w:spacing w:val="-4"/>
          <w:w w:val="105"/>
          <w:sz w:val="17"/>
        </w:rPr>
        <w:t> </w:t>
      </w:r>
      <w:r>
        <w:rPr>
          <w:w w:val="105"/>
          <w:sz w:val="17"/>
        </w:rPr>
        <w:t>and</w:t>
      </w:r>
      <w:r>
        <w:rPr>
          <w:spacing w:val="-4"/>
          <w:w w:val="105"/>
          <w:sz w:val="17"/>
        </w:rPr>
        <w:t> </w:t>
      </w:r>
      <w:r>
        <w:rPr>
          <w:w w:val="105"/>
          <w:sz w:val="17"/>
        </w:rPr>
        <w:t>the</w:t>
      </w:r>
      <w:r>
        <w:rPr>
          <w:spacing w:val="-4"/>
          <w:w w:val="105"/>
          <w:sz w:val="17"/>
        </w:rPr>
        <w:t> </w:t>
      </w:r>
      <w:r>
        <w:rPr>
          <w:w w:val="105"/>
          <w:sz w:val="17"/>
        </w:rPr>
        <w:t>Quality</w:t>
      </w:r>
      <w:r>
        <w:rPr>
          <w:spacing w:val="-4"/>
          <w:w w:val="105"/>
          <w:sz w:val="17"/>
        </w:rPr>
        <w:t> </w:t>
      </w:r>
      <w:r>
        <w:rPr>
          <w:w w:val="105"/>
          <w:sz w:val="17"/>
        </w:rPr>
        <w:t>Agreement</w:t>
      </w:r>
      <w:r>
        <w:rPr>
          <w:spacing w:val="-4"/>
          <w:w w:val="105"/>
          <w:sz w:val="17"/>
        </w:rPr>
        <w:t> </w:t>
      </w:r>
      <w:r>
        <w:rPr>
          <w:w w:val="105"/>
          <w:sz w:val="17"/>
        </w:rPr>
        <w:t>before</w:t>
      </w:r>
      <w:r>
        <w:rPr>
          <w:spacing w:val="-4"/>
          <w:w w:val="105"/>
          <w:sz w:val="17"/>
        </w:rPr>
        <w:t> </w:t>
      </w:r>
      <w:r>
        <w:rPr>
          <w:w w:val="105"/>
          <w:sz w:val="17"/>
        </w:rPr>
        <w:t>implementation</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Miltenyi-Requested</w:t>
      </w:r>
      <w:r>
        <w:rPr>
          <w:spacing w:val="-4"/>
          <w:w w:val="105"/>
          <w:sz w:val="17"/>
        </w:rPr>
        <w:t> </w:t>
      </w:r>
      <w:r>
        <w:rPr>
          <w:w w:val="105"/>
          <w:sz w:val="17"/>
        </w:rPr>
        <w:t>Change</w:t>
      </w:r>
      <w:r>
        <w:rPr>
          <w:spacing w:val="-4"/>
          <w:w w:val="105"/>
          <w:sz w:val="17"/>
        </w:rPr>
        <w:t> </w:t>
      </w:r>
      <w:r>
        <w:rPr>
          <w:w w:val="105"/>
          <w:sz w:val="17"/>
        </w:rPr>
        <w:t>(including</w:t>
      </w:r>
      <w:r>
        <w:rPr>
          <w:spacing w:val="-4"/>
          <w:w w:val="105"/>
          <w:sz w:val="17"/>
        </w:rPr>
        <w:t> </w:t>
      </w:r>
      <w:r>
        <w:rPr>
          <w:w w:val="105"/>
          <w:sz w:val="17"/>
        </w:rPr>
        <w:t>at</w:t>
      </w:r>
      <w:r>
        <w:rPr>
          <w:spacing w:val="-4"/>
          <w:w w:val="105"/>
          <w:sz w:val="17"/>
        </w:rPr>
        <w:t> </w:t>
      </w:r>
      <w:r>
        <w:rPr>
          <w:w w:val="105"/>
          <w:sz w:val="17"/>
        </w:rPr>
        <w:t>least</w:t>
      </w:r>
      <w:r>
        <w:rPr>
          <w:spacing w:val="-4"/>
          <w:w w:val="105"/>
          <w:sz w:val="17"/>
        </w:rPr>
        <w:t> </w:t>
      </w:r>
      <w:r>
        <w:rPr>
          <w:w w:val="105"/>
          <w:sz w:val="17"/>
        </w:rPr>
        <w:t>6</w:t>
      </w:r>
      <w:r>
        <w:rPr>
          <w:spacing w:val="-4"/>
          <w:w w:val="105"/>
          <w:sz w:val="17"/>
        </w:rPr>
        <w:t> </w:t>
      </w:r>
      <w:r>
        <w:rPr>
          <w:w w:val="105"/>
          <w:sz w:val="17"/>
        </w:rPr>
        <w:t>months</w:t>
      </w:r>
      <w:r>
        <w:rPr>
          <w:spacing w:val="-4"/>
          <w:w w:val="105"/>
          <w:sz w:val="17"/>
        </w:rPr>
        <w:t> </w:t>
      </w:r>
      <w:r>
        <w:rPr>
          <w:w w:val="105"/>
          <w:sz w:val="17"/>
        </w:rPr>
        <w:t>advance written notice prior to implementation), and shall keep Bellicum advised of its efforts to effectuate such change. Miltenyi shall use its best efforts to provide to Bellicum with a commercially reaosnable number of samples of the “</w:t>
      </w:r>
      <w:r>
        <w:rPr>
          <w:w w:val="105"/>
          <w:sz w:val="17"/>
          <w:u w:val="single"/>
        </w:rPr>
        <w:t>Changed Miltenyi Product</w:t>
      </w:r>
      <w:r>
        <w:rPr>
          <w:w w:val="105"/>
          <w:sz w:val="17"/>
        </w:rPr>
        <w: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w:t>
      </w:r>
      <w:r>
        <w:rPr>
          <w:spacing w:val="-5"/>
          <w:w w:val="105"/>
          <w:sz w:val="17"/>
        </w:rPr>
        <w:t> </w:t>
      </w:r>
      <w:r>
        <w:rPr>
          <w:w w:val="105"/>
          <w:sz w:val="17"/>
        </w:rPr>
        <w:t>regarding</w:t>
      </w:r>
      <w:r>
        <w:rPr>
          <w:spacing w:val="-5"/>
          <w:w w:val="105"/>
          <w:sz w:val="17"/>
        </w:rPr>
        <w:t> </w:t>
      </w:r>
      <w:r>
        <w:rPr>
          <w:w w:val="105"/>
          <w:sz w:val="17"/>
        </w:rPr>
        <w:t>changes</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subsection,</w:t>
      </w:r>
      <w:r>
        <w:rPr>
          <w:spacing w:val="-5"/>
          <w:w w:val="105"/>
          <w:sz w:val="17"/>
        </w:rPr>
        <w:t> </w:t>
      </w:r>
      <w:r>
        <w:rPr>
          <w:w w:val="105"/>
          <w:sz w:val="17"/>
        </w:rPr>
        <w:t>if</w:t>
      </w:r>
      <w:r>
        <w:rPr>
          <w:spacing w:val="-5"/>
          <w:w w:val="105"/>
          <w:sz w:val="17"/>
        </w:rPr>
        <w:t> </w:t>
      </w:r>
      <w:r>
        <w:rPr>
          <w:w w:val="105"/>
          <w:sz w:val="17"/>
        </w:rPr>
        <w:t>applicable.</w:t>
      </w:r>
      <w:r>
        <w:rPr>
          <w:spacing w:val="-8"/>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implement</w:t>
      </w:r>
      <w:r>
        <w:rPr>
          <w:spacing w:val="-6"/>
          <w:w w:val="105"/>
          <w:sz w:val="17"/>
        </w:rPr>
        <w:t> </w:t>
      </w:r>
      <w:r>
        <w:rPr>
          <w:w w:val="105"/>
          <w:sz w:val="17"/>
        </w:rPr>
        <w:t>such</w:t>
      </w:r>
      <w:r>
        <w:rPr>
          <w:spacing w:val="-6"/>
          <w:w w:val="105"/>
          <w:sz w:val="17"/>
        </w:rPr>
        <w:t> </w:t>
      </w:r>
      <w:r>
        <w:rPr>
          <w:w w:val="105"/>
          <w:sz w:val="17"/>
        </w:rPr>
        <w:t>Miltenyi-Requested</w:t>
      </w:r>
      <w:r>
        <w:rPr>
          <w:spacing w:val="-6"/>
          <w:w w:val="105"/>
          <w:sz w:val="17"/>
        </w:rPr>
        <w:t> </w:t>
      </w:r>
      <w:r>
        <w:rPr>
          <w:w w:val="105"/>
          <w:sz w:val="17"/>
        </w:rPr>
        <w:t>Change</w:t>
      </w:r>
      <w:r>
        <w:rPr>
          <w:spacing w:val="-6"/>
          <w:w w:val="105"/>
          <w:sz w:val="17"/>
        </w:rPr>
        <w:t> </w:t>
      </w:r>
      <w:r>
        <w:rPr>
          <w:w w:val="105"/>
          <w:sz w:val="17"/>
        </w:rPr>
        <w:t>at</w:t>
      </w:r>
      <w:r>
        <w:rPr>
          <w:spacing w:val="-6"/>
          <w:w w:val="105"/>
          <w:sz w:val="17"/>
        </w:rPr>
        <w:t> </w:t>
      </w:r>
      <w:r>
        <w:rPr>
          <w:w w:val="105"/>
          <w:sz w:val="17"/>
        </w:rPr>
        <w:t>its</w:t>
      </w:r>
      <w:r>
        <w:rPr>
          <w:spacing w:val="-6"/>
          <w:w w:val="105"/>
          <w:sz w:val="17"/>
        </w:rPr>
        <w:t> </w:t>
      </w:r>
      <w:r>
        <w:rPr>
          <w:w w:val="105"/>
          <w:sz w:val="17"/>
        </w:rPr>
        <w:t>own</w:t>
      </w:r>
      <w:r>
        <w:rPr>
          <w:spacing w:val="-6"/>
          <w:w w:val="105"/>
          <w:sz w:val="17"/>
        </w:rPr>
        <w:t> </w:t>
      </w:r>
      <w:r>
        <w:rPr>
          <w:w w:val="105"/>
          <w:sz w:val="17"/>
        </w:rPr>
        <w:t>cost and expense.</w:t>
      </w:r>
      <w:r>
        <w:rPr>
          <w:spacing w:val="40"/>
          <w:w w:val="105"/>
          <w:sz w:val="17"/>
        </w:rPr>
        <w:t> </w:t>
      </w:r>
      <w:r>
        <w:rPr>
          <w:w w:val="105"/>
          <w:sz w:val="17"/>
        </w:rPr>
        <w:t>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 If the continued supply of unchanged Miltenyi Product under this subsection (g) is reasonably estimated by the Parties to exceed a period of six (6) months from the implementation date of the Material Change notified in a Change Notification pursuant to Section 3.2(b), then the Parties shall promptly meet to discuss in good faith how to remedy the situation.</w:t>
      </w:r>
      <w:r>
        <w:rPr>
          <w:color w:val="FF0000"/>
        </w:rPr>
        <w:t>If the continued supply of unchanged Miltenyi Product under this subsection (g) is reasonably estimated by the Parties to exceed a period of three (3) months from the implementation date of the Material Change notified in a Change Notification pursuant to Section 3.2(b), then the Parties shall promptly meet to discuss in good faith how to remedy the situation.</w:t>
      </w:r>
    </w:p>
    <w:p>
      <w:pPr>
        <w:pStyle w:val="ListParagraph"/>
        <w:numPr>
          <w:ilvl w:val="0"/>
          <w:numId w:val="10"/>
        </w:numPr>
        <w:tabs>
          <w:tab w:pos="284" w:val="left" w:leader="none"/>
        </w:tabs>
        <w:spacing w:line="249" w:lineRule="auto" w:before="169" w:after="0"/>
        <w:ind w:left="8" w:right="138" w:firstLine="0"/>
        <w:jc w:val="both"/>
        <w:rPr>
          <w:sz w:val="17"/>
        </w:rPr>
      </w:pPr>
      <w:r>
        <w:rPr>
          <w:w w:val="105"/>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w:t>
      </w:r>
      <w:r>
        <w:rPr>
          <w:spacing w:val="-3"/>
          <w:w w:val="105"/>
          <w:sz w:val="17"/>
        </w:rPr>
        <w:t> </w:t>
      </w:r>
      <w:r>
        <w:rPr>
          <w:w w:val="105"/>
          <w:sz w:val="17"/>
        </w:rPr>
        <w:t>after</w:t>
      </w:r>
      <w:r>
        <w:rPr>
          <w:spacing w:val="-2"/>
          <w:w w:val="105"/>
          <w:sz w:val="17"/>
        </w:rPr>
        <w:t> </w:t>
      </w:r>
      <w:r>
        <w:rPr>
          <w:w w:val="105"/>
          <w:sz w:val="17"/>
        </w:rPr>
        <w:t>expiry</w:t>
      </w:r>
      <w:r>
        <w:rPr>
          <w:spacing w:val="-2"/>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said</w:t>
      </w:r>
      <w:r>
        <w:rPr>
          <w:spacing w:val="-2"/>
          <w:w w:val="105"/>
          <w:sz w:val="17"/>
        </w:rPr>
        <w:t> </w:t>
      </w:r>
      <w:r>
        <w:rPr>
          <w:w w:val="105"/>
          <w:sz w:val="17"/>
        </w:rPr>
        <w:t>6-month</w:t>
      </w:r>
      <w:r>
        <w:rPr>
          <w:spacing w:val="-2"/>
          <w:w w:val="105"/>
          <w:sz w:val="17"/>
        </w:rPr>
        <w:t> </w:t>
      </w:r>
      <w:r>
        <w:rPr>
          <w:w w:val="105"/>
          <w:sz w:val="17"/>
        </w:rPr>
        <w:t>period</w:t>
      </w:r>
      <w:r>
        <w:rPr>
          <w:spacing w:val="-2"/>
          <w:w w:val="105"/>
          <w:sz w:val="17"/>
        </w:rPr>
        <w:t> </w:t>
      </w:r>
      <w:r>
        <w:rPr>
          <w:w w:val="105"/>
          <w:sz w:val="17"/>
        </w:rPr>
        <w:t>and</w:t>
      </w:r>
      <w:r>
        <w:rPr>
          <w:spacing w:val="-2"/>
          <w:w w:val="105"/>
          <w:sz w:val="17"/>
        </w:rPr>
        <w:t> </w:t>
      </w:r>
      <w:r>
        <w:rPr>
          <w:w w:val="105"/>
          <w:sz w:val="17"/>
        </w:rPr>
        <w:t>during</w:t>
      </w:r>
      <w:r>
        <w:rPr>
          <w:spacing w:val="-2"/>
          <w:w w:val="105"/>
          <w:sz w:val="17"/>
        </w:rPr>
        <w:t> </w:t>
      </w:r>
      <w:r>
        <w:rPr>
          <w:w w:val="105"/>
          <w:sz w:val="17"/>
        </w:rPr>
        <w:t>the</w:t>
      </w:r>
      <w:r>
        <w:rPr>
          <w:spacing w:val="-3"/>
          <w:w w:val="105"/>
          <w:sz w:val="17"/>
        </w:rPr>
        <w:t> </w:t>
      </w:r>
      <w:r>
        <w:rPr>
          <w:w w:val="105"/>
          <w:sz w:val="17"/>
        </w:rPr>
        <w:t>Term</w:t>
      </w:r>
      <w:r>
        <w:rPr>
          <w:spacing w:val="-3"/>
          <w:w w:val="105"/>
          <w:sz w:val="17"/>
        </w:rPr>
        <w:t> </w:t>
      </w:r>
      <w:r>
        <w:rPr>
          <w:w w:val="105"/>
          <w:sz w:val="17"/>
        </w:rPr>
        <w:t>of</w:t>
      </w:r>
      <w:r>
        <w:rPr>
          <w:spacing w:val="-2"/>
          <w:w w:val="105"/>
          <w:sz w:val="17"/>
        </w:rPr>
        <w:t> </w:t>
      </w:r>
      <w:r>
        <w:rPr>
          <w:w w:val="105"/>
          <w:sz w:val="17"/>
        </w:rPr>
        <w:t>this</w:t>
      </w:r>
      <w:r>
        <w:rPr>
          <w:spacing w:val="-3"/>
          <w:w w:val="105"/>
          <w:sz w:val="17"/>
        </w:rPr>
        <w:t> </w:t>
      </w:r>
      <w:r>
        <w:rPr>
          <w:w w:val="105"/>
          <w:sz w:val="17"/>
        </w:rPr>
        <w:t>Agreement,</w:t>
      </w:r>
      <w:r>
        <w:rPr>
          <w:spacing w:val="-2"/>
          <w:w w:val="105"/>
          <w:sz w:val="17"/>
        </w:rPr>
        <w:t> </w:t>
      </w:r>
      <w:r>
        <w:rPr>
          <w:w w:val="105"/>
          <w:sz w:val="17"/>
        </w:rPr>
        <w:t>or</w:t>
      </w:r>
      <w:r>
        <w:rPr>
          <w:spacing w:val="-2"/>
          <w:w w:val="105"/>
          <w:sz w:val="17"/>
        </w:rPr>
        <w:t> </w:t>
      </w:r>
      <w:r>
        <w:rPr>
          <w:w w:val="105"/>
          <w:sz w:val="17"/>
        </w:rPr>
        <w:t>until</w:t>
      </w:r>
      <w:r>
        <w:rPr>
          <w:spacing w:val="-3"/>
          <w:w w:val="105"/>
          <w:sz w:val="17"/>
        </w:rPr>
        <w:t> </w:t>
      </w:r>
      <w:r>
        <w:rPr>
          <w:w w:val="105"/>
          <w:sz w:val="17"/>
        </w:rPr>
        <w:t>Bellicum</w:t>
      </w:r>
      <w:r>
        <w:rPr>
          <w:spacing w:val="-3"/>
          <w:w w:val="105"/>
          <w:sz w:val="17"/>
        </w:rPr>
        <w:t> </w:t>
      </w:r>
      <w:r>
        <w:rPr>
          <w:w w:val="105"/>
          <w:sz w:val="17"/>
        </w:rPr>
        <w:t>has</w:t>
      </w:r>
      <w:r>
        <w:rPr>
          <w:spacing w:val="-3"/>
          <w:w w:val="105"/>
          <w:sz w:val="17"/>
        </w:rPr>
        <w:t> </w:t>
      </w:r>
      <w:r>
        <w:rPr>
          <w:w w:val="105"/>
          <w:sz w:val="17"/>
        </w:rPr>
        <w:t>secured</w:t>
      </w:r>
      <w:r>
        <w:rPr>
          <w:spacing w:val="-2"/>
          <w:w w:val="105"/>
          <w:sz w:val="17"/>
        </w:rPr>
        <w:t> </w:t>
      </w:r>
      <w:r>
        <w:rPr>
          <w:w w:val="105"/>
          <w:sz w:val="17"/>
        </w:rPr>
        <w:t>an</w:t>
      </w:r>
      <w:r>
        <w:rPr>
          <w:spacing w:val="-2"/>
          <w:w w:val="105"/>
          <w:sz w:val="17"/>
        </w:rPr>
        <w:t> </w:t>
      </w:r>
      <w:r>
        <w:rPr>
          <w:w w:val="105"/>
          <w:sz w:val="17"/>
        </w:rPr>
        <w:t>alternate</w:t>
      </w:r>
      <w:r>
        <w:rPr>
          <w:spacing w:val="-3"/>
          <w:w w:val="105"/>
          <w:sz w:val="17"/>
        </w:rPr>
        <w:t> </w:t>
      </w:r>
      <w:r>
        <w:rPr>
          <w:w w:val="105"/>
          <w:sz w:val="17"/>
        </w:rPr>
        <w:t>source</w:t>
      </w:r>
      <w:r>
        <w:rPr>
          <w:spacing w:val="-3"/>
          <w:w w:val="105"/>
          <w:sz w:val="17"/>
        </w:rPr>
        <w:t> </w:t>
      </w:r>
      <w:r>
        <w:rPr>
          <w:w w:val="105"/>
          <w:sz w:val="17"/>
        </w:rPr>
        <w:t>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w:t>
      </w:r>
      <w:r>
        <w:rPr>
          <w:spacing w:val="80"/>
          <w:w w:val="105"/>
          <w:sz w:val="17"/>
        </w:rPr>
        <w:t> </w:t>
      </w:r>
      <w:r>
        <w:rPr>
          <w:w w:val="105"/>
          <w:sz w:val="17"/>
        </w:rPr>
        <w:t>any</w:t>
      </w:r>
      <w:r>
        <w:rPr>
          <w:spacing w:val="-1"/>
          <w:w w:val="105"/>
          <w:sz w:val="17"/>
        </w:rPr>
        <w:t> </w:t>
      </w:r>
      <w:r>
        <w:rPr>
          <w:w w:val="105"/>
          <w:sz w:val="17"/>
        </w:rPr>
        <w:t>obligations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relation</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Forecast</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affected</w:t>
      </w:r>
      <w:r>
        <w:rPr>
          <w:spacing w:val="-1"/>
          <w:w w:val="105"/>
          <w:sz w:val="17"/>
        </w:rPr>
        <w:t> </w:t>
      </w:r>
      <w:r>
        <w:rPr>
          <w:w w:val="105"/>
          <w:sz w:val="17"/>
        </w:rPr>
        <w:t>Miltentyi</w:t>
      </w:r>
      <w:r>
        <w:rPr>
          <w:spacing w:val="-1"/>
          <w:w w:val="105"/>
          <w:sz w:val="17"/>
        </w:rPr>
        <w:t> </w:t>
      </w:r>
      <w:r>
        <w:rPr>
          <w:w w:val="105"/>
          <w:sz w:val="17"/>
        </w:rPr>
        <w:t>Product</w:t>
      </w:r>
      <w:r>
        <w:rPr>
          <w:spacing w:val="-1"/>
          <w:w w:val="105"/>
          <w:sz w:val="17"/>
        </w:rPr>
        <w:t> </w:t>
      </w:r>
      <w:r>
        <w:rPr>
          <w:w w:val="105"/>
          <w:sz w:val="17"/>
        </w:rPr>
        <w:t>in</w:t>
      </w:r>
      <w:r>
        <w:rPr>
          <w:spacing w:val="-1"/>
          <w:w w:val="105"/>
          <w:sz w:val="17"/>
        </w:rPr>
        <w:t> </w:t>
      </w:r>
      <w:r>
        <w:rPr>
          <w:w w:val="105"/>
          <w:sz w:val="17"/>
        </w:rPr>
        <w:t>months</w:t>
      </w:r>
      <w:r>
        <w:rPr>
          <w:spacing w:val="-1"/>
          <w:w w:val="105"/>
          <w:sz w:val="17"/>
        </w:rPr>
        <w:t> </w:t>
      </w:r>
      <w:r>
        <w:rPr>
          <w:w w:val="105"/>
          <w:sz w:val="17"/>
        </w:rPr>
        <w:t>7-12</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Monthly</w:t>
      </w:r>
      <w:r>
        <w:rPr>
          <w:spacing w:val="-1"/>
          <w:w w:val="105"/>
          <w:sz w:val="17"/>
        </w:rPr>
        <w:t> </w:t>
      </w:r>
      <w:r>
        <w:rPr>
          <w:w w:val="105"/>
          <w:sz w:val="17"/>
        </w:rPr>
        <w:t>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w:t>
      </w:r>
      <w:r>
        <w:rPr>
          <w:spacing w:val="-2"/>
          <w:w w:val="105"/>
          <w:sz w:val="17"/>
        </w:rPr>
        <w:t> </w:t>
      </w:r>
      <w:r>
        <w:rPr>
          <w:w w:val="105"/>
          <w:sz w:val="17"/>
        </w:rPr>
        <w:t>from</w:t>
      </w:r>
      <w:r>
        <w:rPr>
          <w:spacing w:val="-2"/>
          <w:w w:val="105"/>
          <w:sz w:val="17"/>
        </w:rPr>
        <w:t> </w:t>
      </w:r>
      <w:r>
        <w:rPr>
          <w:w w:val="105"/>
          <w:sz w:val="17"/>
        </w:rPr>
        <w:t>any</w:t>
      </w:r>
      <w:r>
        <w:rPr>
          <w:spacing w:val="-2"/>
          <w:w w:val="105"/>
          <w:sz w:val="17"/>
        </w:rPr>
        <w:t> </w:t>
      </w:r>
      <w:r>
        <w:rPr>
          <w:w w:val="105"/>
          <w:sz w:val="17"/>
        </w:rPr>
        <w:t>obligations</w:t>
      </w:r>
      <w:r>
        <w:rPr>
          <w:spacing w:val="-2"/>
          <w:w w:val="105"/>
          <w:sz w:val="17"/>
        </w:rPr>
        <w:t> </w:t>
      </w:r>
      <w:r>
        <w:rPr>
          <w:w w:val="105"/>
          <w:sz w:val="17"/>
        </w:rPr>
        <w:t>to</w:t>
      </w:r>
      <w:r>
        <w:rPr>
          <w:spacing w:val="-2"/>
          <w:w w:val="105"/>
          <w:sz w:val="17"/>
        </w:rPr>
        <w:t> </w:t>
      </w:r>
      <w:r>
        <w:rPr>
          <w:w w:val="105"/>
          <w:sz w:val="17"/>
        </w:rPr>
        <w:t>supply</w:t>
      </w:r>
      <w:r>
        <w:rPr>
          <w:spacing w:val="-2"/>
          <w:w w:val="105"/>
          <w:sz w:val="17"/>
        </w:rPr>
        <w:t> </w:t>
      </w:r>
      <w:r>
        <w:rPr>
          <w:w w:val="105"/>
          <w:sz w:val="17"/>
        </w:rPr>
        <w:t>such</w:t>
      </w:r>
      <w:r>
        <w:rPr>
          <w:spacing w:val="-2"/>
          <w:w w:val="105"/>
          <w:sz w:val="17"/>
        </w:rPr>
        <w:t> </w:t>
      </w:r>
      <w:r>
        <w:rPr>
          <w:w w:val="105"/>
          <w:sz w:val="17"/>
        </w:rPr>
        <w:t>affected</w:t>
      </w:r>
      <w:r>
        <w:rPr>
          <w:spacing w:val="-2"/>
          <w:w w:val="105"/>
          <w:sz w:val="17"/>
        </w:rPr>
        <w:t> </w:t>
      </w:r>
      <w:r>
        <w:rPr>
          <w:w w:val="105"/>
          <w:sz w:val="17"/>
        </w:rPr>
        <w:t>(unchanged)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under</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after</w:t>
      </w:r>
      <w:r>
        <w:rPr>
          <w:spacing w:val="-2"/>
          <w:w w:val="105"/>
          <w:sz w:val="17"/>
        </w:rPr>
        <w:t> </w:t>
      </w:r>
      <w:r>
        <w:rPr>
          <w:w w:val="105"/>
          <w:sz w:val="17"/>
        </w:rPr>
        <w:t>the</w:t>
      </w:r>
      <w:r>
        <w:rPr>
          <w:spacing w:val="-2"/>
          <w:w w:val="105"/>
          <w:sz w:val="17"/>
        </w:rPr>
        <w:t> </w:t>
      </w:r>
      <w:r>
        <w:rPr>
          <w:w w:val="105"/>
          <w:sz w:val="17"/>
        </w:rPr>
        <w:t>period</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the first sentence of this subsection (h) ends.</w:t>
      </w:r>
      <w:r>
        <w:rPr>
          <w:spacing w:val="40"/>
          <w:w w:val="105"/>
          <w:sz w:val="17"/>
        </w:rPr>
        <w:t> </w:t>
      </w:r>
      <w:r>
        <w:rPr>
          <w:w w:val="105"/>
          <w:sz w:val="17"/>
        </w:rPr>
        <w:t>For clarity, in no event shall Miltenyi be required to manufacture, supply or sell an existing Miltenyi Product to which a Required Change must be applied.</w:t>
      </w:r>
    </w:p>
    <w:p>
      <w:pPr>
        <w:pStyle w:val="ListParagraph"/>
        <w:numPr>
          <w:ilvl w:val="0"/>
          <w:numId w:val="10"/>
        </w:numPr>
        <w:tabs>
          <w:tab w:pos="220" w:val="left" w:leader="none"/>
        </w:tabs>
        <w:spacing w:line="264" w:lineRule="auto" w:before="158" w:after="0"/>
        <w:ind w:left="8" w:right="144" w:firstLine="0"/>
        <w:jc w:val="both"/>
        <w:rPr>
          <w:sz w:val="17"/>
        </w:rPr>
      </w:pPr>
      <w:r>
        <w:rPr>
          <w:sz w:val="17"/>
          <w:u w:val="single"/>
        </w:rPr>
        <w:t>Research Grade Products. The notification requirements of the second sentence of Section 3.2(b) of this Agreement with respect to Material Changes and the obligations of Section 3.2(g) with respect to Continued Supply shall not apply to Research Grade Products.</w:t>
      </w:r>
      <w:r>
        <w:rPr>
          <w:sz w:val="17"/>
          <w:u w:val="single"/>
        </w:rPr>
        <w:t xml:space="preserve"> </w:t>
      </w:r>
      <w:r>
        <w:rPr>
          <w:color w:val="FF0000"/>
          <w:sz w:val="17"/>
          <w:u w:val="single"/>
        </w:rPr>
        <w:t>Miltenyi shall notify Bellicum in accordance with the Change Notification procedures set forth in Section 3.2(b) and the Quality Agreement before implementation of such Miltenyi-Requested Change (including at least 1 month advance written notice prior to implementation)</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w w:val="105"/>
          <w:sz w:val="17"/>
        </w:rPr>
        <w:t>Bellicum Product(s).</w:t>
      </w:r>
      <w:r>
        <w:rPr>
          <w:spacing w:val="40"/>
          <w:w w:val="105"/>
          <w:sz w:val="17"/>
        </w:rPr>
        <w:t>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w w:val="105"/>
          <w:sz w:val="17"/>
        </w:rPr>
        <w:t>Miltenyi Product(s).</w:t>
      </w:r>
      <w:r>
        <w:rPr>
          <w:spacing w:val="40"/>
          <w:w w:val="105"/>
          <w:sz w:val="17"/>
        </w:rPr>
        <w:t>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sz w:val="17"/>
          <w:u w:val="single"/>
        </w:rPr>
        <w:t>Forecasts. 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 (each, a “Forecast”). There is no binding forecasting obligation for Research Grade Products, except (if applicable) as otherwise explicitly agreed in a Module. Any modified forecasting terms and conditions for a particular Bellicum Product or Bellicum Program that supplement this Article 5 will be set forth in the Module applicable to that Bellicum Product or Bellicum Program. All of the Forecasts provided 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Exhibit C 1-3. All Forecasts provided by Bellicum will be good faith estimates of Bellicum’s anticipated quantity requirements for Miltenyi Products during the relevant period. Bellicum agrees to use [...***...] in preparing all Forecasts provided hereunder to minimize variances between Forecasts. Each Forecast shall be duly signed by an authorized representative of Bellicum (or Bellicum’s designee on behalf of Bellicum) and submitted in writing to Miltenyi, by mail, email or facsimile, and shall supersede prior Forecasts to the extent the Forecast overlaps with prior Forecasts.</w:t>
      </w:r>
      <w:r>
        <w:rPr>
          <w:sz w:val="17"/>
          <w:u w:val="single"/>
        </w:rPr>
        <w:t xml:space="preserve"> </w:t>
      </w:r>
      <w:r>
        <w:rPr>
          <w:color w:val="FF0000"/>
          <w:sz w:val="17"/>
          <w:u w:val="single"/>
        </w:rPr>
        <w:t>If the continued supply of unchanged Miltenyi Product under this subsection (g) is reasonably estimated by the Parties to exceed a period of three (3) months from the implementation date of the Material Change notified in a Change Notification pursuant to Section 3.2(b), then the Parties shall promptly meet to discuss in good faith how to remedy the situation.</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sz w:val="17"/>
        </w:rPr>
        <w:t>to use [...***...] to ensure continuous supply of Miltenyi Products to Bellicum in accordance with Forecasts provided by or on behalf of Bellicum; and</w:t>
      </w:r>
      <w:r>
        <w:rPr>
          <w:sz w:val="17"/>
        </w:rPr>
        <w:t xml:space="preserve"> </w:t>
      </w:r>
      <w:r>
        <w:rPr>
          <w:color w:val="FF0000"/>
          <w:sz w:val="17"/>
        </w:rPr>
        <w:t>Miltenyi shall notify Bellicum in accordance with the Change Notification procedures set forth in Section 3.2(b) and the Quality Agreement before implementation of such Miltenyi-Requested Change (including at least 1 month advance written notice prior to implementation)</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w w:val="105"/>
          <w:sz w:val="17"/>
          <w:u w:val="single"/>
        </w:rPr>
        <w:t>Upfront Payment</w:t>
      </w:r>
      <w:r>
        <w:rPr>
          <w:w w:val="105"/>
          <w:sz w:val="17"/>
        </w:rPr>
        <w:t>.</w:t>
      </w:r>
      <w:r>
        <w:rPr>
          <w:spacing w:val="15"/>
          <w:w w:val="105"/>
          <w:sz w:val="17"/>
        </w:rPr>
        <w:t>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w:t>
      </w:r>
      <w:r>
        <w:rPr>
          <w:w w:val="105"/>
          <w:sz w:val="17"/>
        </w:rPr>
        <w:t>File(s)</w:t>
      </w:r>
      <w:r>
        <w:rPr>
          <w:spacing w:val="-5"/>
          <w:w w:val="105"/>
          <w:sz w:val="17"/>
        </w:rPr>
        <w:t> </w:t>
      </w:r>
      <w:r>
        <w:rPr>
          <w:w w:val="105"/>
          <w:sz w:val="17"/>
        </w:rPr>
        <w:t>and</w:t>
      </w:r>
      <w:r>
        <w:rPr>
          <w:spacing w:val="-5"/>
          <w:w w:val="105"/>
          <w:sz w:val="17"/>
        </w:rPr>
        <w:t> </w:t>
      </w:r>
      <w:r>
        <w:rPr>
          <w:w w:val="105"/>
          <w:sz w:val="17"/>
        </w:rPr>
        <w:t>Miltenyi’s</w:t>
      </w:r>
      <w:r>
        <w:rPr>
          <w:spacing w:val="-5"/>
          <w:w w:val="105"/>
          <w:sz w:val="17"/>
        </w:rPr>
        <w:t> </w:t>
      </w:r>
      <w:r>
        <w:rPr>
          <w:w w:val="105"/>
          <w:sz w:val="17"/>
        </w:rPr>
        <w:t>additional</w:t>
      </w:r>
      <w:r>
        <w:rPr>
          <w:spacing w:val="-5"/>
          <w:w w:val="105"/>
          <w:sz w:val="17"/>
        </w:rPr>
        <w:t> </w:t>
      </w:r>
      <w:r>
        <w:rPr>
          <w:w w:val="105"/>
          <w:sz w:val="17"/>
        </w:rPr>
        <w:t>filings</w:t>
      </w:r>
      <w:r>
        <w:rPr>
          <w:spacing w:val="-5"/>
          <w:w w:val="105"/>
          <w:sz w:val="17"/>
        </w:rPr>
        <w:t> </w:t>
      </w:r>
      <w:r>
        <w:rPr>
          <w:w w:val="105"/>
          <w:sz w:val="17"/>
        </w:rPr>
        <w:t>in</w:t>
      </w:r>
      <w:r>
        <w:rPr>
          <w:spacing w:val="-5"/>
          <w:w w:val="105"/>
          <w:sz w:val="17"/>
        </w:rPr>
        <w:t> </w:t>
      </w:r>
      <w:r>
        <w:rPr>
          <w:w w:val="105"/>
          <w:sz w:val="17"/>
        </w:rPr>
        <w:t>connection</w:t>
      </w:r>
      <w:r>
        <w:rPr>
          <w:spacing w:val="-5"/>
          <w:w w:val="105"/>
          <w:sz w:val="17"/>
        </w:rPr>
        <w:t> </w:t>
      </w:r>
      <w:r>
        <w:rPr>
          <w:w w:val="105"/>
          <w:sz w:val="17"/>
        </w:rPr>
        <w:t>with</w:t>
      </w:r>
      <w:r>
        <w:rPr>
          <w:spacing w:val="-5"/>
          <w:w w:val="105"/>
          <w:sz w:val="17"/>
        </w:rPr>
        <w:t> </w:t>
      </w:r>
      <w:r>
        <w:rPr>
          <w:w w:val="105"/>
          <w:sz w:val="17"/>
        </w:rPr>
        <w:t>such</w:t>
      </w:r>
      <w:r>
        <w:rPr>
          <w:spacing w:val="-5"/>
          <w:w w:val="105"/>
          <w:sz w:val="17"/>
        </w:rPr>
        <w:t> </w:t>
      </w:r>
      <w:r>
        <w:rPr>
          <w:w w:val="105"/>
          <w:sz w:val="17"/>
        </w:rPr>
        <w:t>Master</w:t>
      </w:r>
      <w:r>
        <w:rPr>
          <w:spacing w:val="-5"/>
          <w:w w:val="105"/>
          <w:sz w:val="17"/>
        </w:rPr>
        <w:t> </w:t>
      </w:r>
      <w:r>
        <w:rPr>
          <w:w w:val="105"/>
          <w:sz w:val="17"/>
        </w:rPr>
        <w:t>File(s)</w:t>
      </w:r>
      <w:r>
        <w:rPr>
          <w:spacing w:val="-5"/>
          <w:w w:val="105"/>
          <w:sz w:val="17"/>
        </w:rPr>
        <w:t> </w:t>
      </w:r>
      <w:r>
        <w:rPr>
          <w:w w:val="105"/>
          <w:sz w:val="17"/>
        </w:rPr>
        <w:t>as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Article</w:t>
      </w:r>
      <w:r>
        <w:rPr>
          <w:spacing w:val="-5"/>
          <w:w w:val="105"/>
          <w:sz w:val="17"/>
        </w:rPr>
        <w:t> </w:t>
      </w:r>
      <w:r>
        <w:rPr>
          <w:w w:val="105"/>
          <w:sz w:val="17"/>
        </w:rPr>
        <w:t>4;</w:t>
      </w:r>
      <w:r>
        <w:rPr>
          <w:spacing w:val="-5"/>
          <w:w w:val="105"/>
          <w:sz w:val="17"/>
        </w:rPr>
        <w:t> </w:t>
      </w:r>
      <w:r>
        <w:rPr>
          <w:w w:val="105"/>
          <w:sz w:val="17"/>
        </w:rPr>
        <w:t>(ii)</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 certain</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for</w:t>
      </w:r>
      <w:r>
        <w:rPr>
          <w:spacing w:val="-2"/>
          <w:w w:val="105"/>
          <w:sz w:val="17"/>
        </w:rPr>
        <w:t> </w:t>
      </w:r>
      <w:r>
        <w:rPr>
          <w:w w:val="105"/>
          <w:sz w:val="17"/>
        </w:rPr>
        <w:t>human</w:t>
      </w:r>
      <w:r>
        <w:rPr>
          <w:spacing w:val="-2"/>
          <w:w w:val="105"/>
          <w:sz w:val="17"/>
        </w:rPr>
        <w:t> </w:t>
      </w:r>
      <w:r>
        <w:rPr>
          <w:w w:val="105"/>
          <w:sz w:val="17"/>
        </w:rPr>
        <w:t>clinical</w:t>
      </w:r>
      <w:r>
        <w:rPr>
          <w:spacing w:val="-2"/>
          <w:w w:val="105"/>
          <w:sz w:val="17"/>
        </w:rPr>
        <w:t> </w:t>
      </w:r>
      <w:r>
        <w:rPr>
          <w:w w:val="105"/>
          <w:sz w:val="17"/>
        </w:rPr>
        <w:t>trials</w:t>
      </w:r>
      <w:r>
        <w:rPr>
          <w:spacing w:val="-2"/>
          <w:w w:val="105"/>
          <w:sz w:val="17"/>
        </w:rPr>
        <w:t> </w:t>
      </w:r>
      <w:r>
        <w:rPr>
          <w:w w:val="105"/>
          <w:sz w:val="17"/>
        </w:rPr>
        <w:t>and</w:t>
      </w:r>
      <w:r>
        <w:rPr>
          <w:spacing w:val="-2"/>
          <w:w w:val="105"/>
          <w:sz w:val="17"/>
        </w:rPr>
        <w:t> </w:t>
      </w:r>
      <w:r>
        <w:rPr>
          <w:w w:val="105"/>
          <w:sz w:val="17"/>
        </w:rPr>
        <w:t>commercialized</w:t>
      </w:r>
      <w:r>
        <w:rPr>
          <w:spacing w:val="-2"/>
          <w:w w:val="105"/>
          <w:sz w:val="17"/>
        </w:rPr>
        <w:t> </w:t>
      </w:r>
      <w:r>
        <w:rPr>
          <w:w w:val="105"/>
          <w:sz w:val="17"/>
        </w:rPr>
        <w:t>human</w:t>
      </w:r>
      <w:r>
        <w:rPr>
          <w:spacing w:val="-2"/>
          <w:w w:val="105"/>
          <w:sz w:val="17"/>
        </w:rPr>
        <w:t> </w:t>
      </w:r>
      <w:r>
        <w:rPr>
          <w:w w:val="105"/>
          <w:sz w:val="17"/>
        </w:rPr>
        <w:t>use;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Miltenyi’s</w:t>
      </w:r>
      <w:r>
        <w:rPr>
          <w:spacing w:val="-2"/>
          <w:w w:val="105"/>
          <w:sz w:val="17"/>
        </w:rPr>
        <w:t> </w:t>
      </w:r>
      <w:r>
        <w:rPr>
          <w:w w:val="105"/>
          <w:sz w:val="17"/>
        </w:rPr>
        <w:t>support</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sz w:val="17"/>
        </w:rPr>
        <w:t>To Miltenyi’s knowledge on the Effective Date, except with respect to the agreements listed on Exhibit D hereto there are no agreements between Miltenyi and a Third Party that would impose any payment obligation on Bellicum with respect to the use of Miltenyi Product in connection with the manufacture, use or sale of any Bellicum Product, or any Bellicum use within the Permitted Use.</w:t>
      </w:r>
      <w:r>
        <w:rPr>
          <w:sz w:val="17"/>
        </w:rPr>
        <w:t xml:space="preserve"> </w:t>
      </w:r>
      <w:r>
        <w:rPr>
          <w:color w:val="FF0000"/>
          <w:sz w:val="17"/>
        </w:rPr>
        <w:t>all rights granted and obligations undertaken by the Parties hereunder shall terminate 30 days after the termination or expiration of this Agreement</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w w:val="105"/>
          <w:sz w:val="17"/>
          <w:u w:val="single"/>
        </w:rPr>
        <w:t>Survival</w:t>
      </w:r>
      <w:r>
        <w:rPr>
          <w:w w:val="105"/>
          <w:sz w:val="17"/>
        </w:rPr>
        <w:t>.</w:t>
      </w:r>
      <w:r>
        <w:rPr>
          <w:spacing w:val="40"/>
          <w:w w:val="105"/>
          <w:sz w:val="17"/>
        </w:rPr>
        <w:t> </w:t>
      </w:r>
      <w:r>
        <w:rPr>
          <w:w w:val="105"/>
          <w:sz w:val="17"/>
        </w:rPr>
        <w:t>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w:t>
      </w:r>
      <w:r>
        <w:rPr>
          <w:spacing w:val="-5"/>
          <w:w w:val="105"/>
          <w:sz w:val="17"/>
        </w:rPr>
        <w:t> </w:t>
      </w:r>
      <w:r>
        <w:rPr>
          <w:w w:val="105"/>
          <w:sz w:val="17"/>
        </w:rPr>
        <w:t>15.7</w:t>
      </w:r>
      <w:r>
        <w:rPr>
          <w:spacing w:val="-5"/>
          <w:w w:val="105"/>
          <w:sz w:val="17"/>
        </w:rPr>
        <w:t> </w:t>
      </w:r>
      <w:r>
        <w:rPr>
          <w:w w:val="105"/>
          <w:sz w:val="17"/>
        </w:rPr>
        <w:t>(Post-termination);</w:t>
      </w:r>
      <w:r>
        <w:rPr>
          <w:spacing w:val="-5"/>
          <w:w w:val="105"/>
          <w:sz w:val="17"/>
        </w:rPr>
        <w:t> </w:t>
      </w:r>
      <w:r>
        <w:rPr>
          <w:w w:val="105"/>
          <w:sz w:val="17"/>
        </w:rPr>
        <w:t>Section</w:t>
      </w:r>
      <w:r>
        <w:rPr>
          <w:spacing w:val="-5"/>
          <w:w w:val="105"/>
          <w:sz w:val="17"/>
        </w:rPr>
        <w:t> </w:t>
      </w:r>
      <w:r>
        <w:rPr>
          <w:w w:val="105"/>
          <w:sz w:val="17"/>
        </w:rPr>
        <w:t>15.7</w:t>
      </w:r>
      <w:r>
        <w:rPr>
          <w:spacing w:val="-5"/>
          <w:w w:val="105"/>
          <w:sz w:val="17"/>
        </w:rPr>
        <w:t> </w:t>
      </w:r>
      <w:r>
        <w:rPr>
          <w:w w:val="105"/>
          <w:sz w:val="17"/>
        </w:rPr>
        <w:t>(Survival);</w:t>
      </w:r>
      <w:r>
        <w:rPr>
          <w:spacing w:val="-5"/>
          <w:w w:val="105"/>
          <w:sz w:val="17"/>
        </w:rPr>
        <w:t> </w:t>
      </w:r>
      <w:r>
        <w:rPr>
          <w:w w:val="105"/>
          <w:sz w:val="17"/>
        </w:rPr>
        <w:t>Article</w:t>
      </w:r>
      <w:r>
        <w:rPr>
          <w:spacing w:val="-5"/>
          <w:w w:val="105"/>
          <w:sz w:val="17"/>
        </w:rPr>
        <w:t> </w:t>
      </w:r>
      <w:r>
        <w:rPr>
          <w:w w:val="105"/>
          <w:sz w:val="17"/>
        </w:rPr>
        <w:t>16</w:t>
      </w:r>
      <w:r>
        <w:rPr>
          <w:spacing w:val="-5"/>
          <w:w w:val="105"/>
          <w:sz w:val="17"/>
        </w:rPr>
        <w:t> </w:t>
      </w:r>
      <w:r>
        <w:rPr>
          <w:w w:val="105"/>
          <w:sz w:val="17"/>
        </w:rPr>
        <w:t>(Notices);</w:t>
      </w:r>
      <w:r>
        <w:rPr>
          <w:spacing w:val="-5"/>
          <w:w w:val="105"/>
          <w:sz w:val="17"/>
        </w:rPr>
        <w:t> </w:t>
      </w:r>
      <w:r>
        <w:rPr>
          <w:w w:val="105"/>
          <w:sz w:val="17"/>
        </w:rPr>
        <w:t>Article</w:t>
      </w:r>
      <w:r>
        <w:rPr>
          <w:spacing w:val="-5"/>
          <w:w w:val="105"/>
          <w:sz w:val="17"/>
        </w:rPr>
        <w:t> </w:t>
      </w:r>
      <w:r>
        <w:rPr>
          <w:w w:val="105"/>
          <w:sz w:val="17"/>
        </w:rPr>
        <w:t>17</w:t>
      </w:r>
      <w:r>
        <w:rPr>
          <w:spacing w:val="-5"/>
          <w:w w:val="105"/>
          <w:sz w:val="17"/>
        </w:rPr>
        <w:t> </w:t>
      </w:r>
      <w:r>
        <w:rPr>
          <w:w w:val="105"/>
          <w:sz w:val="17"/>
        </w:rPr>
        <w:t>(Assignment);</w:t>
      </w:r>
      <w:r>
        <w:rPr>
          <w:spacing w:val="-5"/>
          <w:w w:val="105"/>
          <w:sz w:val="17"/>
        </w:rPr>
        <w:t> </w:t>
      </w:r>
      <w:r>
        <w:rPr>
          <w:w w:val="105"/>
          <w:sz w:val="17"/>
        </w:rPr>
        <w:t>Article</w:t>
      </w:r>
      <w:r>
        <w:rPr>
          <w:spacing w:val="-5"/>
          <w:w w:val="105"/>
          <w:sz w:val="17"/>
        </w:rPr>
        <w:t> </w:t>
      </w:r>
      <w:r>
        <w:rPr>
          <w:w w:val="105"/>
          <w:sz w:val="17"/>
        </w:rPr>
        <w:t>19</w:t>
      </w:r>
      <w:r>
        <w:rPr>
          <w:spacing w:val="-5"/>
          <w:w w:val="105"/>
          <w:sz w:val="17"/>
        </w:rPr>
        <w:t> </w:t>
      </w:r>
      <w:r>
        <w:rPr>
          <w:w w:val="105"/>
          <w:sz w:val="17"/>
        </w:rPr>
        <w:t>(Dispute</w:t>
      </w:r>
      <w:r>
        <w:rPr>
          <w:spacing w:val="-5"/>
          <w:w w:val="105"/>
          <w:sz w:val="17"/>
        </w:rPr>
        <w:t> </w:t>
      </w:r>
      <w:r>
        <w:rPr>
          <w:w w:val="105"/>
          <w:sz w:val="17"/>
        </w:rPr>
        <w:t>Resolution</w:t>
      </w:r>
      <w:r>
        <w:rPr>
          <w:spacing w:val="-5"/>
          <w:w w:val="105"/>
          <w:sz w:val="17"/>
        </w:rPr>
        <w:t> </w:t>
      </w:r>
      <w:r>
        <w:rPr>
          <w:w w:val="105"/>
          <w:sz w:val="17"/>
        </w:rPr>
        <w:t>and Applicable Law); and Article 20 (Miscellaneous); and any and all rights and obligations of the Parties thereunder, as well as any other provision hereunder which by its nature is intended to survive expiration or termination of this Agreement.</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