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FUNDACIÓN UNIVERSITARIA CATÓLICA DEL NORTE</w:t>
        <w:br/>
      </w:r>
      <w:r>
        <w:t>Facultad de Ciencias Económicas, Administrativas y Contables</w:t>
        <w:br/>
      </w:r>
      <w:r>
        <w:t>Especialización en Gerencia de Proyectos | Curso: Proyecto I</w:t>
        <w:br/>
        <w:br/>
        <w:br/>
      </w:r>
      <w:r>
        <w:t>MERIDIANO CONSULTING GROUP</w:t>
        <w:br/>
      </w:r>
      <w:r>
        <w:t>Consultores Especializados en Formulación, Evaluación y Control de Proyectos bajo el Marco PMI</w:t>
        <w:br/>
        <w:br/>
        <w:br/>
      </w:r>
      <w:r>
        <w:rPr>
          <w:b/>
          <w:sz w:val="32"/>
        </w:rPr>
        <w:t>SEGUNDO AVANCE DEL PROYECTO</w:t>
        <w:br/>
      </w:r>
      <w:r>
        <w:rPr>
          <w:b/>
        </w:rPr>
        <w:t>GESTIÓN DE LA INTEGRACIÓN Y GESTIÓN DEL ALCANCE</w:t>
        <w:br/>
      </w:r>
      <w:r>
        <w:t>Actividad #2 - Comprender</w:t>
        <w:br/>
        <w:br/>
        <w:br/>
      </w:r>
      <w:r>
        <w:rPr>
          <w:b/>
        </w:rPr>
        <w:t>CLIENTE: TODO GAS SYR S.A.S. | NIT: 901.126.243-3</w:t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Consultor Junior (Líder)</w:t>
            </w:r>
          </w:p>
        </w:tc>
        <w:tc>
          <w:tcPr>
            <w:tcW w:type="dxa" w:w="4320"/>
          </w:tcPr>
          <w:p>
            <w:r>
              <w:t>Supelano Beltran Luis Silvestre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Proyecto I</w:t>
            </w:r>
          </w:p>
        </w:tc>
      </w:tr>
      <w:tr>
        <w:tc>
          <w:tcPr>
            <w:tcW w:type="dxa" w:w="4320"/>
          </w:tcPr>
          <w:p>
            <w:r>
              <w:t>Actividad</w:t>
            </w:r>
          </w:p>
        </w:tc>
        <w:tc>
          <w:tcPr>
            <w:tcW w:type="dxa" w:w="4320"/>
          </w:tcPr>
          <w:p>
            <w:r>
              <w:t>Actividad #2 - Comprender: Segundo Avance del Proyecto</w:t>
            </w:r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>
              <w:t>16 de julio de 2026</w:t>
            </w:r>
          </w:p>
        </w:tc>
      </w:tr>
    </w:tbl>
    <w:p>
      <w:r>
        <w:br w:type="page"/>
      </w:r>
    </w:p>
    <w:p>
      <w:pPr>
        <w:pStyle w:val="Heading1"/>
      </w:pPr>
      <w:r>
        <w:t>1. CASO DE NEGOCIO CORREGIDO Y ACTUALIZADO</w:t>
      </w:r>
    </w:p>
    <w:p>
      <w:r>
        <w:t>Con base en la retroalimentación del Socio Senior, se consolidan las correcciones sobre el diagnóstico inicial de la empresa.</w:t>
      </w:r>
    </w:p>
    <w:p>
      <w:pPr>
        <w:pStyle w:val="Heading2"/>
      </w:pPr>
      <w:r>
        <w:t>1.1. Resumen de Ajustes del Caso de Negocio</w:t>
      </w:r>
    </w:p>
    <w:p>
      <w:r>
        <w:t>1. Precisión Normativa: Se detalla el impacto financiero y tributario del desfase contable. El no reporte bajo la convergencia NIIF para Pymes afecta la determinación del impuesto a la renta, proyectando sanciones ante la DIAN por $52.000.000 COP.</w:t>
      </w:r>
    </w:p>
    <w:p>
      <w:r>
        <w:t>2. Redistribución Presupuestal: El presupuesto total se mantiene en $21.600.000 COP, distribuido estratégicamente según el peso operativo de cada fase del ciclo PHVA.</w:t>
      </w:r>
    </w:p>
    <w:p>
      <w:pPr>
        <w:pStyle w:val="Heading2"/>
      </w:pPr>
      <w:r>
        <w:t>1.2. Cuadro de Análisis Costo-Beneficio Actualizado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 de Costo (Inversión)</w:t>
            </w:r>
          </w:p>
        </w:tc>
        <w:tc>
          <w:tcPr>
            <w:tcW w:type="dxa" w:w="2160"/>
          </w:tcPr>
          <w:p>
            <w:r>
              <w:t>Valor (COP)</w:t>
            </w:r>
          </w:p>
        </w:tc>
        <w:tc>
          <w:tcPr>
            <w:tcW w:type="dxa" w:w="2160"/>
          </w:tcPr>
          <w:p>
            <w:r>
              <w:t>Beneficios Cuantificables</w:t>
            </w:r>
          </w:p>
        </w:tc>
        <w:tc>
          <w:tcPr>
            <w:tcW w:type="dxa" w:w="2160"/>
          </w:tcPr>
          <w:p>
            <w:r>
              <w:t>Valor Estimado (COP)</w:t>
            </w:r>
          </w:p>
        </w:tc>
      </w:tr>
      <w:tr>
        <w:tc>
          <w:tcPr>
            <w:tcW w:type="dxa" w:w="2160"/>
          </w:tcPr>
          <w:p>
            <w:r>
              <w:t>Fase Planear (45h)</w:t>
            </w:r>
          </w:p>
        </w:tc>
        <w:tc>
          <w:tcPr>
            <w:tcW w:type="dxa" w:w="2160"/>
          </w:tcPr>
          <w:p>
            <w:r>
              <w:t>$5.400.000</w:t>
            </w:r>
          </w:p>
        </w:tc>
        <w:tc>
          <w:tcPr>
            <w:tcW w:type="dxa" w:w="2160"/>
          </w:tcPr>
          <w:p>
            <w:r>
              <w:t>Mitigación de multas DIAN</w:t>
            </w:r>
          </w:p>
        </w:tc>
        <w:tc>
          <w:tcPr>
            <w:tcW w:type="dxa" w:w="2160"/>
          </w:tcPr>
          <w:p>
            <w:r>
              <w:t>$52.000.000</w:t>
            </w:r>
          </w:p>
        </w:tc>
      </w:tr>
      <w:tr>
        <w:tc>
          <w:tcPr>
            <w:tcW w:type="dxa" w:w="2160"/>
          </w:tcPr>
          <w:p>
            <w:r>
              <w:t>Fase Hacer (75h)</w:t>
            </w:r>
          </w:p>
        </w:tc>
        <w:tc>
          <w:tcPr>
            <w:tcW w:type="dxa" w:w="2160"/>
          </w:tcPr>
          <w:p>
            <w:r>
              <w:t>$9.000.000</w:t>
            </w:r>
          </w:p>
        </w:tc>
        <w:tc>
          <w:tcPr>
            <w:tcW w:type="dxa" w:w="2160"/>
          </w:tcPr>
          <w:p>
            <w:r>
              <w:t>Apalancamiento Bancario</w:t>
            </w:r>
          </w:p>
        </w:tc>
        <w:tc>
          <w:tcPr>
            <w:tcW w:type="dxa" w:w="2160"/>
          </w:tcPr>
          <w:p>
            <w:r>
              <w:t>$500.000.000</w:t>
            </w:r>
          </w:p>
        </w:tc>
      </w:tr>
      <w:tr>
        <w:tc>
          <w:tcPr>
            <w:tcW w:type="dxa" w:w="2160"/>
          </w:tcPr>
          <w:p>
            <w:r>
              <w:t>Fase Verificar (30h)</w:t>
            </w:r>
          </w:p>
        </w:tc>
        <w:tc>
          <w:tcPr>
            <w:tcW w:type="dxa" w:w="2160"/>
          </w:tcPr>
          <w:p>
            <w:r>
              <w:t>$3.600.000</w:t>
            </w:r>
          </w:p>
        </w:tc>
        <w:tc>
          <w:tcPr>
            <w:tcW w:type="dxa" w:w="2160"/>
          </w:tcPr>
          <w:p>
            <w:r>
              <w:t>Ahorro en reprocesos CI</w:t>
            </w:r>
          </w:p>
        </w:tc>
        <w:tc>
          <w:tcPr>
            <w:tcW w:type="dxa" w:w="2160"/>
          </w:tcPr>
          <w:p>
            <w:r>
              <w:t>$8.000.000</w:t>
            </w:r>
          </w:p>
        </w:tc>
      </w:tr>
      <w:tr>
        <w:tc>
          <w:tcPr>
            <w:tcW w:type="dxa" w:w="2160"/>
          </w:tcPr>
          <w:p>
            <w:r>
              <w:t>Fase Actuar (30h)</w:t>
            </w:r>
          </w:p>
        </w:tc>
        <w:tc>
          <w:tcPr>
            <w:tcW w:type="dxa" w:w="2160"/>
          </w:tcPr>
          <w:p>
            <w:r>
              <w:t>$3.600.000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COSTO TOTAL (A)</w:t>
            </w:r>
          </w:p>
        </w:tc>
        <w:tc>
          <w:tcPr>
            <w:tcW w:type="dxa" w:w="2160"/>
          </w:tcPr>
          <w:p>
            <w:r>
              <w:t>$21.600.000</w:t>
            </w:r>
          </w:p>
        </w:tc>
        <w:tc>
          <w:tcPr>
            <w:tcW w:type="dxa" w:w="2160"/>
          </w:tcPr>
          <w:p>
            <w:r>
              <w:t>BENEFICIO TOTAL ESTIMADO (B)</w:t>
            </w:r>
          </w:p>
        </w:tc>
        <w:tc>
          <w:tcPr>
            <w:tcW w:type="dxa" w:w="2160"/>
          </w:tcPr>
          <w:p>
            <w:r>
              <w:t>$560.000.000</w:t>
            </w:r>
          </w:p>
        </w:tc>
      </w:tr>
    </w:tbl>
    <w:p>
      <w:r>
        <w:br/>
        <w:t>Indicador Financiero de Viabilidad: ROI = 2.492%</w:t>
      </w:r>
    </w:p>
    <w:p>
      <w:r>
        <w:br w:type="page"/>
      </w:r>
    </w:p>
    <w:p>
      <w:pPr>
        <w:pStyle w:val="Heading1"/>
      </w:pPr>
      <w:r>
        <w:t>2. GESTIÓN DE LA INTEGRACIÓN</w:t>
      </w:r>
    </w:p>
    <w:p>
      <w:pPr>
        <w:pStyle w:val="Heading2"/>
      </w:pPr>
      <w:r>
        <w:t>2.1. Acta de Constitución del Proyecto (Project Charter)</w:t>
      </w:r>
    </w:p>
    <w:p>
      <w:pPr>
        <w:pStyle w:val="Heading3"/>
      </w:pPr>
      <w:r>
        <w:t>Información General</w:t>
      </w:r>
    </w:p>
    <w:p>
      <w:r>
        <w:rPr>
          <w:b/>
        </w:rPr>
        <w:t xml:space="preserve">Nombre del Proyecto: </w:t>
      </w:r>
      <w:r>
        <w:t>Actualización Normativa NIIF para Pymes y Saneamiento Contable-Fiscal</w:t>
      </w:r>
    </w:p>
    <w:p>
      <w:r>
        <w:rPr>
          <w:b/>
        </w:rPr>
        <w:t xml:space="preserve">Director del Proyecto: </w:t>
      </w:r>
      <w:r>
        <w:t>Luis Silvestre Supelano Beltrán</w:t>
      </w:r>
    </w:p>
    <w:p>
      <w:r>
        <w:rPr>
          <w:b/>
        </w:rPr>
        <w:t xml:space="preserve">Presupuesto Autorizado: </w:t>
      </w:r>
      <w:r>
        <w:t>$21.600.000 COP</w:t>
      </w:r>
    </w:p>
    <w:p>
      <w:r>
        <w:rPr>
          <w:b/>
        </w:rPr>
        <w:t xml:space="preserve">Duración Prevista: </w:t>
      </w:r>
      <w:r>
        <w:t>20 semanas</w:t>
      </w:r>
    </w:p>
    <w:p>
      <w:pPr>
        <w:pStyle w:val="Heading3"/>
      </w:pPr>
      <w:r>
        <w:t>Propósito y Justificación</w:t>
      </w:r>
    </w:p>
    <w:p>
      <w:r>
        <w:t>Actualizar e integrar los procesos de TODO GAS SYR S.A.S. a los requerimientos contables de la NIIF para Pymes y las normativas fiscales vigentes colombianas.</w:t>
      </w:r>
    </w:p>
    <w:p>
      <w:pPr>
        <w:pStyle w:val="Heading2"/>
      </w:pPr>
      <w:r>
        <w:t>2.2. Diseño de Actividades, Precedencias y Tiempos</w:t>
      </w:r>
    </w:p>
    <w:p>
      <w:r>
        <w:t>Se detallan las 21 actividades del proyecto con sus tiempos y dependencias.</w:t>
      </w:r>
    </w:p>
    <w:p>
      <w:pPr>
        <w:pStyle w:val="Heading2"/>
      </w:pPr>
      <w:r>
        <w:t>2.3. Ejercicio de Ruta Crítica (CPM)</w:t>
      </w:r>
    </w:p>
    <w:p>
      <w:r>
        <w:t>La ruta crítica identifica la duración mínima del proyecto de 22 semanas, comprimida a 20 mediante Fast Tracking.</w:t>
      </w:r>
    </w:p>
    <w:p>
      <w:r>
        <w:br/>
        <w:t>Figura 1. Diagrama de Red del Proyecto (Metodología AOA/CPM)</w:t>
      </w:r>
    </w:p>
    <w:p>
      <w:r>
        <w:drawing>
          <wp:inline xmlns:a="http://schemas.openxmlformats.org/drawingml/2006/main" xmlns:pic="http://schemas.openxmlformats.org/drawingml/2006/picture">
            <wp:extent cx="5486400" cy="492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ao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Nota: La ruta crítica se resalta en color rojo.</w:t>
      </w:r>
    </w:p>
    <w:p>
      <w:r>
        <w:br w:type="page"/>
      </w:r>
    </w:p>
    <w:p>
      <w:pPr>
        <w:pStyle w:val="Heading1"/>
      </w:pPr>
      <w:r>
        <w:t>3. GESTIÓN DEL ALCANCE</w:t>
      </w:r>
    </w:p>
    <w:p>
      <w:pPr>
        <w:pStyle w:val="Heading2"/>
      </w:pPr>
      <w:r>
        <w:t>3.1. Estructura de Desglose del Trabajo (EDT / WBS)</w:t>
      </w:r>
    </w:p>
    <w:p>
      <w:r>
        <w:br/>
        <w:t>Figura 2. Estructura de Desglose del Trabajo (EDT) - Ciclo PHVA</w:t>
      </w:r>
    </w:p>
    <w:p>
      <w:r>
        <w:drawing>
          <wp:inline xmlns:a="http://schemas.openxmlformats.org/drawingml/2006/main" xmlns:pic="http://schemas.openxmlformats.org/drawingml/2006/picture">
            <wp:extent cx="5486400" cy="21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t_w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Nota: Descomposición jerárquica orientada al 100% de los entregables.</w:t>
      </w:r>
    </w:p>
    <w:p>
      <w:pPr>
        <w:pStyle w:val="Heading2"/>
      </w:pPr>
      <w:r>
        <w:t>3.2. Cronograma de Trabajo (Diagrama de Gantt)</w:t>
      </w:r>
    </w:p>
    <w:p>
      <w:r>
        <w:br/>
        <w:t>Figura 3. Cronograma de Trabajo (Diagrama de Gantt)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Nota: Distribución de fases en el horizonte de 20 semanas.</w:t>
      </w:r>
    </w:p>
    <w:p>
      <w:r>
        <w:br w:type="page"/>
      </w:r>
    </w:p>
    <w:p>
      <w:pPr>
        <w:pStyle w:val="Heading1"/>
      </w:pPr>
      <w:r>
        <w:t>4. GESTIÓN DE RIESGOS</w:t>
      </w:r>
    </w:p>
    <w:p>
      <w:pPr>
        <w:pStyle w:val="Heading2"/>
      </w:pPr>
      <w:r>
        <w:t>4.2. Matriz de Riesgos y Plan de Respuestas</w:t>
      </w:r>
    </w:p>
    <w:p>
      <w:r>
        <w:t>Se han identificado 6 riesgos críticos con sus respectivos planes de mitigación.</w:t>
      </w:r>
    </w:p>
    <w:p>
      <w:pPr>
        <w:pStyle w:val="Heading2"/>
      </w:pPr>
      <w:r>
        <w:t>4.3. Representación Gráfica: Mapa de Calor de Riesgos</w:t>
      </w:r>
    </w:p>
    <w:p>
      <w:r>
        <w:br/>
        <w:t>Figura 4. Mapa de Calor de Riesgos (Probabilidad vs Impacto)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Nota: Ubicación de riesgos R1 a R6 según su nivel de severidad.</w:t>
      </w:r>
    </w:p>
    <w:p>
      <w:r>
        <w:br w:type="page"/>
      </w:r>
    </w:p>
    <w:p>
      <w:pPr>
        <w:pStyle w:val="Heading1"/>
      </w:pPr>
      <w:r>
        <w:t>5. REFERENCIAS BIBLIOGRÁFICAS (APA 7a EDICIÓN)</w:t>
      </w:r>
    </w:p>
    <w:p>
      <w:r>
        <w:t>Consejo Técnico de la Contaduría Pública (CTCP). (2022). Orientación técnica sobre la aplicación de las NIIF en la convergencia empresarial.</w:t>
      </w:r>
    </w:p>
    <w:p>
      <w:r>
        <w:t>IFRS Foundation. (2021). Norma Internacional de Información Financiera para Pequeñas y Medianas Entidades (NIIF para las Pymes).</w:t>
      </w:r>
    </w:p>
    <w:p>
      <w:r>
        <w:t>Project Management Institute (PMI). (2021). Guía de los fundamentos para la dirección de proyectos (Guía del PMBOK) (7.a ed.).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