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FUNDACIÓN UNIVERSITARIA CATÓLICA DEL NORTE</w:t>
        <w:br/>
      </w:r>
      <w:r>
        <w:t>Facultad de Ciencias Económicas, Administrativas y Contables</w:t>
        <w:br/>
      </w:r>
      <w:r>
        <w:t>Especialización en Gerencia de Proyectos | Curso: Proyecto I</w:t>
        <w:br/>
        <w:br/>
      </w:r>
      <w:r>
        <w:t>MERIDIANO CONSULTING GROUP</w:t>
        <w:br/>
      </w:r>
      <w:r>
        <w:t>Consultores Especializados en Formulación, Evaluación y Control de Proyectos bajo el Marco PMI</w:t>
        <w:br/>
        <w:br/>
      </w:r>
      <w:r>
        <w:rPr>
          <w:b/>
          <w:sz w:val="32"/>
        </w:rPr>
        <w:t>SEGUNDO AVANCE DEL PROYECTO</w:t>
        <w:br/>
      </w:r>
      <w:r>
        <w:rPr>
          <w:b/>
        </w:rPr>
        <w:t>GESTIÓN DE LA INTEGRACIÓN Y GESTIÓN DEL ALCANCE</w:t>
        <w:br/>
      </w:r>
      <w:r>
        <w:t>Actividad #2 - Comprender</w:t>
        <w:br/>
        <w:br/>
      </w:r>
      <w:r>
        <w:rPr>
          <w:b/>
        </w:rPr>
        <w:t>CLIENTE: TODO GAS SYR S.A.S. | NIT: 901.126.243-3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Consultor Junior (Líder)</w:t>
            </w:r>
          </w:p>
        </w:tc>
        <w:tc>
          <w:tcPr>
            <w:tcW w:type="dxa" w:w="4320"/>
          </w:tcPr>
          <w:p>
            <w:r>
              <w:t>Supelano Beltran Luis Silvestre</w:t>
            </w:r>
          </w:p>
        </w:tc>
      </w:tr>
      <w:tr>
        <w:tc>
          <w:tcPr>
            <w:tcW w:type="dxa" w:w="4320"/>
          </w:tcPr>
          <w:p>
            <w:r>
              <w:t>Curso</w:t>
            </w:r>
          </w:p>
        </w:tc>
        <w:tc>
          <w:tcPr>
            <w:tcW w:type="dxa" w:w="4320"/>
          </w:tcPr>
          <w:p>
            <w:r>
              <w:t>Proyecto I</w:t>
            </w:r>
          </w:p>
        </w:tc>
      </w:tr>
      <w:tr>
        <w:tc>
          <w:tcPr>
            <w:tcW w:type="dxa" w:w="4320"/>
          </w:tcPr>
          <w:p>
            <w:r>
              <w:t>Actividad</w:t>
            </w:r>
          </w:p>
        </w:tc>
        <w:tc>
          <w:tcPr>
            <w:tcW w:type="dxa" w:w="4320"/>
          </w:tcPr>
          <w:p>
            <w:r>
              <w:t>Actividad #2 - Comprender: Segundo Avance del Proyecto</w:t>
            </w:r>
          </w:p>
        </w:tc>
      </w:tr>
      <w:tr>
        <w:tc>
          <w:tcPr>
            <w:tcW w:type="dxa" w:w="4320"/>
          </w:tcPr>
          <w:p>
            <w:r>
              <w:t>Fecha de entrega</w:t>
            </w:r>
          </w:p>
        </w:tc>
        <w:tc>
          <w:tcPr>
            <w:tcW w:type="dxa" w:w="4320"/>
          </w:tcPr>
          <w:p>
            <w:r>
              <w:t>16 de julio de 2026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t>1. Caso de Negocio con Correcciones</w:t>
      </w:r>
    </w:p>
    <w:p>
      <w:r>
        <w:t xml:space="preserve">   - 1.1 Correcciones y Ajustes al Caso de Negocio</w:t>
      </w:r>
    </w:p>
    <w:p>
      <w:r>
        <w:t xml:space="preserve">   - 1.2 Actualización del Análisis Costo-Beneficio</w:t>
      </w:r>
    </w:p>
    <w:p>
      <w:r>
        <w:t>2. Gestión de la Integración del Proyecto</w:t>
      </w:r>
    </w:p>
    <w:p>
      <w:r>
        <w:t xml:space="preserve">   - 2.1 Acta de Constitución del Proyecto</w:t>
      </w:r>
    </w:p>
    <w:p>
      <w:r>
        <w:t xml:space="preserve">   - 2.2 Diseño de Actividades: Precedencias y Tiempos</w:t>
      </w:r>
    </w:p>
    <w:p>
      <w:r>
        <w:t xml:space="preserve">   - 2.3 Ejercicio de Ruta Crítica (CPM)</w:t>
      </w:r>
    </w:p>
    <w:p>
      <w:r>
        <w:t>3. Gestión del Alcance del Proyecto</w:t>
      </w:r>
    </w:p>
    <w:p>
      <w:r>
        <w:t xml:space="preserve">   - 3.1 Estructura del Desglose del Trabajo (EDT/WBS)</w:t>
      </w:r>
    </w:p>
    <w:p>
      <w:r>
        <w:t xml:space="preserve">   - 3.2 Cronograma de Trabajo (Diagrama de Gantt)</w:t>
      </w:r>
    </w:p>
    <w:p>
      <w:r>
        <w:t xml:space="preserve">   - 3.3 Matriz de Responsabilidades (RACI)</w:t>
      </w:r>
    </w:p>
    <w:p>
      <w:r>
        <w:t>4. Gestión de Riesgos</w:t>
      </w:r>
    </w:p>
    <w:p>
      <w:r>
        <w:t xml:space="preserve">   - 4.1 Identificación de Riesgos</w:t>
      </w:r>
    </w:p>
    <w:p>
      <w:r>
        <w:t xml:space="preserve">   - 4.2 Matriz de Riesgos</w:t>
      </w:r>
    </w:p>
    <w:p>
      <w:r>
        <w:t xml:space="preserve">   - 4.3 Plan de Respuesta a Riesgos</w:t>
      </w:r>
    </w:p>
    <w:p>
      <w:r>
        <w:t>5. Referencias Bibliográficas</w:t>
      </w:r>
    </w:p>
    <w:p>
      <w:r>
        <w:br w:type="page"/>
      </w:r>
    </w:p>
    <w:p>
      <w:pPr>
        <w:pStyle w:val="Heading1"/>
      </w:pPr>
      <w:r>
        <w:t>1. CASO DE NEGOCIO CON CORRECCIONES</w:t>
      </w:r>
    </w:p>
    <w:p>
      <w:pPr>
        <w:pStyle w:val="Heading2"/>
      </w:pPr>
      <w:r>
        <w:t>1.1 Correcciones y Ajustes al Caso de Negocio</w:t>
      </w:r>
    </w:p>
    <w:p>
      <w:r>
        <w:t>A continuación se presentan las correcciones realizadas al Caso de Negocio inicial (Actividad #1), con base en los comentarios del Socio Director y la profundización del análisis diagnóstico de TODO GAS SYR S.A.S.:</w:t>
      </w:r>
    </w:p>
    <w:p>
      <w:r>
        <w:t>**Corrección 1: Ajuste en la Declaración del Problema** Se precisa que el desfase normativo no solo afecta la convergencia NIIF para Pymes, sino que también impacta directamente la determinación de la base gravable del impuesto a la renta, generando diferencias temporarias permanentes no reconocidas en el Formulario 2516 (Art. 772 del Estatuto Tributario). Se ajusta el impacto estimado de sanciones de $45.000.000 COP a $52.000.000 COP, considerando la actualización de la UVT para el año gravable 2026.</w:t>
      </w:r>
    </w:p>
    <w:p>
      <w:r>
        <w:t>**Corrección 2: Actualización del Presupuesto** El presupuesto total del proyecto se mantiene en $21.600.000 COP, pero se redistribuye el desglose por fases para reflejar con mayor precisión la carga horaria real:</w:t>
        <w:br/>
        <w:t>- Fase Planear: 45 horas ($5.400.000 COP)</w:t>
        <w:br/>
        <w:t>- Fase Hacer: 75 horas ($9.000.000 COP)</w:t>
        <w:br/>
        <w:t>- Fase Verificar: 30 horas ($3.600.000 COP)</w:t>
        <w:br/>
        <w:t>- Fase Actuar: 30 horas ($3.600.000 COP)</w:t>
        <w:br/>
        <w:t>- **Total: 180 horas ($21.600.000 COP)**</w:t>
      </w:r>
    </w:p>
    <w:p>
      <w:r>
        <w:t>**Corrección 3: Ajuste en el Análisis de Alternativas** Se añade un cuarto criterio de evaluación: "Capacidad de generación de valor a largo plazo" con peso del 10%, restando 5% al criterio "Cumplimiento normativo" (25% → 20%) y 5% al criterio "Costo de implementación" (25% → 20%). La Opción 3 (Consultoría PHVA) mantiene su posición como recomendada.</w:t>
      </w:r>
    </w:p>
    <w:p>
      <w:r>
        <w:t>**Corrección 4: Inclusión de Supuestos Adicionales** Se añaden los siguientes supuestos críticos:</w:t>
        <w:br/>
        <w:t>- La empresa contará con conectividad estable para el acceso remoto del consultor durante las fases de verificación y capacitación.</w:t>
        <w:br/>
        <w:t>- El software contable actual (SIIGO o similar) permitirá la exportación de balances de prueba en formato Excel.</w:t>
        <w:br/>
        <w:t>- La gerencia designará un punto focal contable para facilitar la recolección de información.</w:t>
      </w:r>
    </w:p>
    <w:p>
      <w:pPr>
        <w:pStyle w:val="Heading2"/>
      </w:pPr>
      <w:r>
        <w:t>1.2 Actualización del Análisis Costo-Beneficio</w:t>
      </w:r>
    </w:p>
    <w:p>
      <w:r>
        <w:t>[AQUÍ VA LA TABLA 1 - CUADRO DE ANÁLISIS COSTO-BENEFICIO ACTUALIZADO]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Valor (COP)</w:t>
            </w:r>
          </w:p>
        </w:tc>
      </w:tr>
      <w:tr>
        <w:tc>
          <w:tcPr>
            <w:tcW w:type="dxa" w:w="2880"/>
          </w:tcPr>
          <w:p>
            <w:r>
              <w:t>COSTOS DEL PROYECTO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Fase Planear: Diagnóstico y Levantamiento (45h x $120.000)</w:t>
            </w:r>
          </w:p>
        </w:tc>
        <w:tc>
          <w:tcPr>
            <w:tcW w:type="dxa" w:w="2880"/>
          </w:tcPr>
          <w:p>
            <w:r>
              <w:t>Costo Directo</w:t>
            </w:r>
          </w:p>
        </w:tc>
        <w:tc>
          <w:tcPr>
            <w:tcW w:type="dxa" w:w="2880"/>
          </w:tcPr>
          <w:p>
            <w:r>
              <w:t>$5.400.000</w:t>
            </w:r>
          </w:p>
        </w:tc>
      </w:tr>
      <w:tr>
        <w:tc>
          <w:tcPr>
            <w:tcW w:type="dxa" w:w="2880"/>
          </w:tcPr>
          <w:p>
            <w:r>
              <w:t>Fase Hacer: Manual NIIF + Sistema Conciliación (75h x $120.000)</w:t>
            </w:r>
          </w:p>
        </w:tc>
        <w:tc>
          <w:tcPr>
            <w:tcW w:type="dxa" w:w="2880"/>
          </w:tcPr>
          <w:p>
            <w:r>
              <w:t>Costo Directo</w:t>
            </w:r>
          </w:p>
        </w:tc>
        <w:tc>
          <w:tcPr>
            <w:tcW w:type="dxa" w:w="2880"/>
          </w:tcPr>
          <w:p>
            <w:r>
              <w:t>$9.000.000</w:t>
            </w:r>
          </w:p>
        </w:tc>
      </w:tr>
      <w:tr>
        <w:tc>
          <w:tcPr>
            <w:tcW w:type="dxa" w:w="2880"/>
          </w:tcPr>
          <w:p>
            <w:r>
              <w:t>Fase Verificar: Auditoría Preventiva (30h x $120.000)</w:t>
            </w:r>
          </w:p>
        </w:tc>
        <w:tc>
          <w:tcPr>
            <w:tcW w:type="dxa" w:w="2880"/>
          </w:tcPr>
          <w:p>
            <w:r>
              <w:t>Costo Directo</w:t>
            </w:r>
          </w:p>
        </w:tc>
        <w:tc>
          <w:tcPr>
            <w:tcW w:type="dxa" w:w="2880"/>
          </w:tcPr>
          <w:p>
            <w:r>
              <w:t>$3.600.000</w:t>
            </w:r>
          </w:p>
        </w:tc>
      </w:tr>
      <w:tr>
        <w:tc>
          <w:tcPr>
            <w:tcW w:type="dxa" w:w="2880"/>
          </w:tcPr>
          <w:p>
            <w:r>
              <w:t>Fase Actuar: Capacitación y Cierre (30h x $120.000)</w:t>
            </w:r>
          </w:p>
        </w:tc>
        <w:tc>
          <w:tcPr>
            <w:tcW w:type="dxa" w:w="2880"/>
          </w:tcPr>
          <w:p>
            <w:r>
              <w:t>Costo Directo</w:t>
            </w:r>
          </w:p>
        </w:tc>
        <w:tc>
          <w:tcPr>
            <w:tcW w:type="dxa" w:w="2880"/>
          </w:tcPr>
          <w:p>
            <w:r>
              <w:t>$3.600.000</w:t>
            </w:r>
          </w:p>
        </w:tc>
      </w:tr>
      <w:tr>
        <w:tc>
          <w:tcPr>
            <w:tcW w:type="dxa" w:w="2880"/>
          </w:tcPr>
          <w:p>
            <w:r>
              <w:t>COSTO TOTAL DEL PROYECTO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$21.600.000</w:t>
            </w:r>
          </w:p>
        </w:tc>
      </w:tr>
      <w:tr>
        <w:tc>
          <w:tcPr>
            <w:tcW w:type="dxa" w:w="2880"/>
          </w:tcPr>
          <w:p>
            <w:r>
              <w:t>BENEFICIOS CUANTIFICABLES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Mitigación multas DIAN (160% diferencias - Art. 647 E.T.)</w:t>
            </w:r>
          </w:p>
        </w:tc>
        <w:tc>
          <w:tcPr>
            <w:tcW w:type="dxa" w:w="2880"/>
          </w:tcPr>
          <w:p>
            <w:r>
              <w:t>Beneficio Fiscal</w:t>
            </w:r>
          </w:p>
        </w:tc>
        <w:tc>
          <w:tcPr>
            <w:tcW w:type="dxa" w:w="2880"/>
          </w:tcPr>
          <w:p>
            <w:r>
              <w:t>$52.000.000</w:t>
            </w:r>
          </w:p>
        </w:tc>
      </w:tr>
      <w:tr>
        <w:tc>
          <w:tcPr>
            <w:tcW w:type="dxa" w:w="2880"/>
          </w:tcPr>
          <w:p>
            <w:r>
              <w:t>Habilitación para acceso a créditos bancarios de fomento</w:t>
            </w:r>
          </w:p>
        </w:tc>
        <w:tc>
          <w:tcPr>
            <w:tcW w:type="dxa" w:w="2880"/>
          </w:tcPr>
          <w:p>
            <w:r>
              <w:t>Beneficio Financiero</w:t>
            </w:r>
          </w:p>
        </w:tc>
        <w:tc>
          <w:tcPr>
            <w:tcW w:type="dxa" w:w="2880"/>
          </w:tcPr>
          <w:p>
            <w:r>
              <w:t>$500.000.000</w:t>
            </w:r>
          </w:p>
        </w:tc>
      </w:tr>
      <w:tr>
        <w:tc>
          <w:tcPr>
            <w:tcW w:type="dxa" w:w="2880"/>
          </w:tcPr>
          <w:p>
            <w:r>
              <w:t>Ahorro en costos futuros por control interno (est. anual)</w:t>
            </w:r>
          </w:p>
        </w:tc>
        <w:tc>
          <w:tcPr>
            <w:tcW w:type="dxa" w:w="2880"/>
          </w:tcPr>
          <w:p>
            <w:r>
              <w:t>Beneficio Operativo</w:t>
            </w:r>
          </w:p>
        </w:tc>
        <w:tc>
          <w:tcPr>
            <w:tcW w:type="dxa" w:w="2880"/>
          </w:tcPr>
          <w:p>
            <w:r>
              <w:t>$8.000.000</w:t>
            </w:r>
          </w:p>
        </w:tc>
      </w:tr>
      <w:tr>
        <w:tc>
          <w:tcPr>
            <w:tcW w:type="dxa" w:w="2880"/>
          </w:tcPr>
          <w:p>
            <w:r>
              <w:t>BENEFICIO TOTAL ESTIMADO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$560.000.000</w:t>
            </w:r>
          </w:p>
        </w:tc>
      </w:tr>
      <w:tr>
        <w:tc>
          <w:tcPr>
            <w:tcW w:type="dxa" w:w="2880"/>
          </w:tcPr>
          <w:p>
            <w:r>
              <w:t>Retorno sobre Inversión (ROI)</w:t>
            </w:r>
          </w:p>
        </w:tc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ROI = 2.492%</w:t>
            </w:r>
          </w:p>
        </w:tc>
      </w:tr>
    </w:tbl>
    <w:p>
      <w:r>
        <w:t>Nota. Elaboración propia con base en Villamizar (2025, p. 19) y Project Management Institute (2021). Sanciones DIAN estimadas bajo el artículo 647 del Estatuto Tributario colombiano actualizado a UVT 2026.</w:t>
      </w:r>
    </w:p>
    <w:p>
      <w:pPr>
        <w:pStyle w:val="Heading1"/>
      </w:pPr>
      <w:r>
        <w:t>2. GESTIÓN DE LA INTEGRACIÓN DEL PROYECTO</w:t>
      </w:r>
    </w:p>
    <w:p>
      <w:pPr>
        <w:pStyle w:val="Heading2"/>
      </w:pPr>
      <w:r>
        <w:t>2.1 Acta de Constitución del Proyecto</w:t>
      </w:r>
    </w:p>
    <w:p>
      <w:r>
        <w:t>[AQUÍ VA LA TABLA DE IDENTIFICACIÓN DEL PROYECTO]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Proyecto</w:t>
            </w:r>
          </w:p>
        </w:tc>
        <w:tc>
          <w:tcPr>
            <w:tcW w:type="dxa" w:w="4320"/>
          </w:tcPr>
          <w:p>
            <w:r>
              <w:t>Actualización NIIF para Pymes y Articulación Contable-Tributaria bajo Ciclo PHVA</w:t>
            </w:r>
          </w:p>
        </w:tc>
      </w:tr>
      <w:tr>
        <w:tc>
          <w:tcPr>
            <w:tcW w:type="dxa" w:w="4320"/>
          </w:tcPr>
          <w:p>
            <w:r>
              <w:t>Código del Proyecto</w:t>
            </w:r>
          </w:p>
        </w:tc>
        <w:tc>
          <w:tcPr>
            <w:tcW w:type="dxa" w:w="4320"/>
          </w:tcPr>
          <w:p>
            <w:r>
              <w:t>MCG-2026-TG01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TODO GAS SYR S.A.S. - NIT: 901.126.243-3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Garagoa y Tunja, Boyacá, Colombia</w:t>
            </w:r>
          </w:p>
        </w:tc>
      </w:tr>
      <w:tr>
        <w:tc>
          <w:tcPr>
            <w:tcW w:type="dxa" w:w="4320"/>
          </w:tcPr>
          <w:p>
            <w:r>
              <w:t>Firma Consultora</w:t>
            </w:r>
          </w:p>
        </w:tc>
        <w:tc>
          <w:tcPr>
            <w:tcW w:type="dxa" w:w="4320"/>
          </w:tcPr>
          <w:p>
            <w:r>
              <w:t>Meridiano Consulting Group</w:t>
            </w:r>
          </w:p>
        </w:tc>
      </w:tr>
      <w:tr>
        <w:tc>
          <w:tcPr>
            <w:tcW w:type="dxa" w:w="4320"/>
          </w:tcPr>
          <w:p>
            <w:r>
              <w:t>Director del Proyecto</w:t>
            </w:r>
          </w:p>
        </w:tc>
        <w:tc>
          <w:tcPr>
            <w:tcW w:type="dxa" w:w="4320"/>
          </w:tcPr>
          <w:p>
            <w:r>
              <w:t>Carlos Enrique Villegas López</w:t>
            </w:r>
          </w:p>
        </w:tc>
      </w:tr>
      <w:tr>
        <w:tc>
          <w:tcPr>
            <w:tcW w:type="dxa" w:w="4320"/>
          </w:tcPr>
          <w:p>
            <w:r>
              <w:t>Gerente del Proyecto</w:t>
            </w:r>
          </w:p>
        </w:tc>
        <w:tc>
          <w:tcPr>
            <w:tcW w:type="dxa" w:w="4320"/>
          </w:tcPr>
          <w:p>
            <w:r>
              <w:t>Luis Silvestre Supelano Beltrán</w:t>
            </w:r>
          </w:p>
        </w:tc>
      </w:tr>
      <w:tr>
        <w:tc>
          <w:tcPr>
            <w:tcW w:type="dxa" w:w="4320"/>
          </w:tcPr>
          <w:p>
            <w:r>
              <w:t>Fecha de Aprobación</w:t>
            </w:r>
          </w:p>
        </w:tc>
        <w:tc>
          <w:tcPr>
            <w:tcW w:type="dxa" w:w="4320"/>
          </w:tcPr>
          <w:p>
            <w:r>
              <w:t>02 de julio de 2026</w:t>
            </w:r>
          </w:p>
        </w:tc>
      </w:tr>
      <w:tr>
        <w:tc>
          <w:tcPr>
            <w:tcW w:type="dxa" w:w="4320"/>
          </w:tcPr>
          <w:p>
            <w:r>
              <w:t>Fecha de Inicio</w:t>
            </w:r>
          </w:p>
        </w:tc>
        <w:tc>
          <w:tcPr>
            <w:tcW w:type="dxa" w:w="4320"/>
          </w:tcPr>
          <w:p>
            <w:r>
              <w:t>07 de julio de 2026</w:t>
            </w:r>
          </w:p>
        </w:tc>
      </w:tr>
      <w:tr>
        <w:tc>
          <w:tcPr>
            <w:tcW w:type="dxa" w:w="4320"/>
          </w:tcPr>
          <w:p>
            <w:r>
              <w:t>Fecha de Cierre</w:t>
            </w:r>
          </w:p>
        </w:tc>
        <w:tc>
          <w:tcPr>
            <w:tcW w:type="dxa" w:w="4320"/>
          </w:tcPr>
          <w:p>
            <w:r>
              <w:t>20 de noviembre de 2026 (20 semanas)</w:t>
            </w:r>
          </w:p>
        </w:tc>
      </w:tr>
      <w:tr>
        <w:tc>
          <w:tcPr>
            <w:tcW w:type="dxa" w:w="4320"/>
          </w:tcPr>
          <w:p>
            <w:r>
              <w:t>Presupuesto Aprobado</w:t>
            </w:r>
          </w:p>
        </w:tc>
        <w:tc>
          <w:tcPr>
            <w:tcW w:type="dxa" w:w="4320"/>
          </w:tcPr>
          <w:p>
            <w:r>
              <w:t>$21.600.000 COP</w:t>
            </w:r>
          </w:p>
        </w:tc>
      </w:tr>
      <w:tr>
        <w:tc>
          <w:tcPr>
            <w:tcW w:type="dxa" w:w="4320"/>
          </w:tcPr>
          <w:p>
            <w:r>
              <w:t>Objeto del Proyecto</w:t>
            </w:r>
          </w:p>
        </w:tc>
        <w:tc>
          <w:tcPr>
            <w:tcW w:type="dxa" w:w="4320"/>
          </w:tcPr>
          <w:p>
            <w:r>
              <w:t>Diseñar e implementar una ruta de actualización normativa NIIF para Pymes 2021-2026 y articulación contable-tributaria para normalizar la situación financiera de TODO GAS SYR S.A.S. y lograr estados financieros aptos para apalancamiento bancario.</w:t>
            </w:r>
          </w:p>
        </w:tc>
      </w:tr>
    </w:tbl>
    <w:p>
      <w:pPr>
        <w:pStyle w:val="Heading3"/>
      </w:pPr>
      <w:r>
        <w:t>Justificación del Proyecto</w:t>
      </w:r>
    </w:p>
    <w:p>
      <w:r>
        <w:t>La empresa TODO GAS SYR S.A.S. presenta un desfase crítico en la convergencia e implementación de las Normas Internacionales de Información Financiera (NIIF para Pymes - Decreto 2420 de 2015). La falta de actualización de sus políticas contables frente al marco normativo vigente y las exigencias del Estatuto Tributario colombiano genera asimetrías entre sus reportes financieros y la realidad fiscal, exponiendo a la organización a sanciones por inexactitud ante la DIAN y limitando su acceso a créditos corporativos esenciales para la expansión de su infraestructura de distribución de gas (IFRS Foundation, 2026, p. 12; Mantilla, 2021, p. 74).</w:t>
      </w:r>
    </w:p>
    <w:p>
      <w:r>
        <w:t>La inversión de $21.600.000 COP evita sanciones estimadas en $52.000.000 COP y viabiliza créditos por más de $500.000.000 COP, generando un ROI del 2.492%. Por cada $1 invertido, la empresa protege $2.09 en riesgos y habilita $23.15 en financiación.</w:t>
      </w:r>
    </w:p>
    <w:p>
      <w:pPr>
        <w:pStyle w:val="Heading3"/>
      </w:pPr>
      <w:r>
        <w:t>Descripción del Proyecto</w:t>
      </w:r>
    </w:p>
    <w:p>
      <w:r>
        <w:t>El proyecto consiste en una intervención integral de saneamiento, actualización de políticas contables NIIF y conciliación fiscal, ejecutada bajo el estándar de gestión de proyectos del Project Management Institute (PMI). El alcance cubre las dimensiones técnica, tributaria y de capacitación del personal administrativo y contable de la empresa.</w:t>
      </w:r>
    </w:p>
    <w:p>
      <w:r>
        <w:t>El proyecto se ejecutará en 20 semanas mediante el ciclo PHVA (Planear, Hacer, Verificar, Actuar), garantizando trazabilidad, verificación y sostenibilidad del sistema contable implementado.</w:t>
      </w:r>
    </w:p>
    <w:p>
      <w:pPr>
        <w:pStyle w:val="Heading3"/>
      </w:pPr>
      <w:r>
        <w:t>Requisitos de Aprobación del Proyecto:</w:t>
      </w:r>
    </w:p>
    <w:p>
      <w:pPr>
        <w:pStyle w:val="ListBullet"/>
      </w:pPr>
      <w:r>
        <w:t>Aprobación formal del Caso de Negocio por el Socio Director (Docente) de Meridiano Consulting Group.</w:t>
      </w:r>
    </w:p>
    <w:p>
      <w:pPr>
        <w:pStyle w:val="ListBullet"/>
      </w:pPr>
      <w:r>
        <w:t>Firma del contrato de consultoría entre TODO GAS SYR S.A.S. y Meridiano Consulting Group.</w:t>
      </w:r>
    </w:p>
    <w:p>
      <w:pPr>
        <w:pStyle w:val="ListBullet"/>
      </w:pPr>
      <w:r>
        <w:t>Designación del punto focal contable por parte de la gerencia de TODO GAS SYR S.A.S.</w:t>
      </w:r>
    </w:p>
    <w:p>
      <w:pPr>
        <w:pStyle w:val="ListBullet"/>
      </w:pPr>
      <w:r>
        <w:t>Entrega de balances de prueba históricos 2021-2025 dentro de los primeros 10 días hábiles.</w:t>
      </w:r>
    </w:p>
    <w:p>
      <w:pPr>
        <w:pStyle w:val="ListBullet"/>
      </w:pPr>
      <w:r>
        <w:t>Autorización de acceso a la documentación fiscal y tributaria requerida.</w:t>
      </w:r>
    </w:p>
    <w:p>
      <w:pPr>
        <w:pStyle w:val="Heading3"/>
      </w:pPr>
      <w:r>
        <w:t>Criterios de Éxito del Proyecto:</w:t>
      </w:r>
    </w:p>
    <w:p>
      <w:pPr>
        <w:pStyle w:val="ListBullet"/>
      </w:pPr>
      <w:r>
        <w:t>Entrega del Manual de Políticas Contables NIIF actualizado a 2026, aprobado por la gerencia.</w:t>
      </w:r>
    </w:p>
    <w:p>
      <w:pPr>
        <w:pStyle w:val="ListBullet"/>
      </w:pPr>
      <w:r>
        <w:t>Implementación operativa del sistema de conciliación fiscal automatizado (Formulario 2516).</w:t>
      </w:r>
    </w:p>
    <w:p>
      <w:pPr>
        <w:pStyle w:val="ListBullet"/>
      </w:pPr>
      <w:r>
        <w:t>Estados financieros auditados y aptos para presentación ante entidades bancarias.</w:t>
      </w:r>
    </w:p>
    <w:p>
      <w:pPr>
        <w:pStyle w:val="ListBullet"/>
      </w:pPr>
      <w:r>
        <w:t>Capacitación del 100% del personal administrativo y contable (mínimo 4 personas).</w:t>
      </w:r>
    </w:p>
    <w:p>
      <w:pPr>
        <w:pStyle w:val="ListBullet"/>
      </w:pPr>
      <w:r>
        <w:t>Cumplimiento del presupuesto de $21.600.000 COP sin desviaciones superiores al 5%.</w:t>
      </w:r>
    </w:p>
    <w:p>
      <w:pPr>
        <w:pStyle w:val="ListBullet"/>
      </w:pPr>
      <w:r>
        <w:t>Cumplimiento del cronograma de 20 semanas sin retrasos críticos.</w:t>
      </w:r>
    </w:p>
    <w:p>
      <w:pPr>
        <w:pStyle w:val="ListBullet"/>
      </w:pPr>
      <w:r>
        <w:t>Reducción del riesgo DIAN a cero mediante auditoría preventiva exitosa.</w:t>
      </w:r>
    </w:p>
    <w:p>
      <w:r>
        <w:t>[AQUÍ VA LA TABLA DE PARTES INTERESADAS]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Nombre / Entidad</w:t>
            </w:r>
          </w:p>
        </w:tc>
        <w:tc>
          <w:tcPr>
            <w:tcW w:type="dxa" w:w="2160"/>
          </w:tcPr>
          <w:p>
            <w:r>
              <w:t>Interés</w:t>
            </w:r>
          </w:p>
        </w:tc>
        <w:tc>
          <w:tcPr>
            <w:tcW w:type="dxa" w:w="2160"/>
          </w:tcPr>
          <w:p>
            <w:r>
              <w:t>Influencia</w:t>
            </w:r>
          </w:p>
        </w:tc>
      </w:tr>
      <w:tr>
        <w:tc>
          <w:tcPr>
            <w:tcW w:type="dxa" w:w="2160"/>
          </w:tcPr>
          <w:p>
            <w:r>
              <w:t>Patrocinador / Socio Director</w:t>
            </w:r>
          </w:p>
        </w:tc>
        <w:tc>
          <w:tcPr>
            <w:tcW w:type="dxa" w:w="2160"/>
          </w:tcPr>
          <w:p>
            <w:r>
              <w:t>Carlos Enrique Villegas López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</w:tr>
      <w:tr>
        <w:tc>
          <w:tcPr>
            <w:tcW w:type="dxa" w:w="2160"/>
          </w:tcPr>
          <w:p>
            <w:r>
              <w:t>Gerente del Proyecto</w:t>
            </w:r>
          </w:p>
        </w:tc>
        <w:tc>
          <w:tcPr>
            <w:tcW w:type="dxa" w:w="2160"/>
          </w:tcPr>
          <w:p>
            <w:r>
              <w:t>Luis Silvestre Supelano Beltrán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</w:tr>
      <w:tr>
        <w:tc>
          <w:tcPr>
            <w:tcW w:type="dxa" w:w="2160"/>
          </w:tcPr>
          <w:p>
            <w:r>
              <w:t>Cliente / Gerente General</w:t>
            </w:r>
          </w:p>
        </w:tc>
        <w:tc>
          <w:tcPr>
            <w:tcW w:type="dxa" w:w="2160"/>
          </w:tcPr>
          <w:p>
            <w:r>
              <w:t>TODO GAS SYR S.A.S.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</w:tr>
      <w:tr>
        <w:tc>
          <w:tcPr>
            <w:tcW w:type="dxa" w:w="2160"/>
          </w:tcPr>
          <w:p>
            <w:r>
              <w:t>Punto Focal Contable</w:t>
            </w:r>
          </w:p>
        </w:tc>
        <w:tc>
          <w:tcPr>
            <w:tcW w:type="dxa" w:w="2160"/>
          </w:tcPr>
          <w:p>
            <w:r>
              <w:t>Por designar (TODO GAS)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</w:tr>
      <w:tr>
        <w:tc>
          <w:tcPr>
            <w:tcW w:type="dxa" w:w="2160"/>
          </w:tcPr>
          <w:p>
            <w:r>
              <w:t>Entidad Bancaria</w:t>
            </w:r>
          </w:p>
        </w:tc>
        <w:tc>
          <w:tcPr>
            <w:tcW w:type="dxa" w:w="2160"/>
          </w:tcPr>
          <w:p>
            <w:r>
              <w:t>Bancos de fomento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</w:tr>
      <w:tr>
        <w:tc>
          <w:tcPr>
            <w:tcW w:type="dxa" w:w="2160"/>
          </w:tcPr>
          <w:p>
            <w:r>
              <w:t>Entidad Fiscalizadora</w:t>
            </w:r>
          </w:p>
        </w:tc>
        <w:tc>
          <w:tcPr>
            <w:tcW w:type="dxa" w:w="2160"/>
          </w:tcPr>
          <w:p>
            <w:r>
              <w:t>DIAN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</w:tr>
    </w:tbl>
    <w:p>
      <w:pPr>
        <w:pStyle w:val="Heading3"/>
      </w:pPr>
      <w:r>
        <w:t>Supuestos del Proyecto:</w:t>
      </w:r>
    </w:p>
    <w:p>
      <w:pPr>
        <w:pStyle w:val="ListBullet"/>
      </w:pPr>
      <w:r>
        <w:t>El área contable entregará los balances históricos dentro de los primeros 10 días hábiles.</w:t>
      </w:r>
    </w:p>
    <w:p>
      <w:pPr>
        <w:pStyle w:val="ListBullet"/>
      </w:pPr>
      <w:r>
        <w:t>La gerencia autorizará acceso a la documentación fiscal y tributaria requerida.</w:t>
      </w:r>
    </w:p>
    <w:p>
      <w:pPr>
        <w:pStyle w:val="ListBullet"/>
      </w:pPr>
      <w:r>
        <w:t>La empresa contará con conectividad estable para el acceso remoto.</w:t>
      </w:r>
    </w:p>
    <w:p>
      <w:pPr>
        <w:pStyle w:val="ListBullet"/>
      </w:pPr>
      <w:r>
        <w:t>El software contable permitirá la exportación de balances en formato Excel.</w:t>
      </w:r>
    </w:p>
    <w:p>
      <w:pPr>
        <w:pStyle w:val="ListBullet"/>
      </w:pPr>
      <w:r>
        <w:t>No habrá cambios significativos en la normativa NIIF o tributaria durante la ejecución.</w:t>
      </w:r>
    </w:p>
    <w:p>
      <w:pPr>
        <w:pStyle w:val="Heading3"/>
      </w:pPr>
      <w:r>
        <w:t>Restricciones del Proyecto:</w:t>
      </w:r>
    </w:p>
    <w:p>
      <w:pPr>
        <w:pStyle w:val="ListBullet"/>
      </w:pPr>
      <w:r>
        <w:t>Presupuesto fijo de $21.600.000 COP.</w:t>
      </w:r>
    </w:p>
    <w:p>
      <w:pPr>
        <w:pStyle w:val="ListBullet"/>
      </w:pPr>
      <w:r>
        <w:t>El proyecto debe concluir antes del cierre fiscal 2026.</w:t>
      </w:r>
    </w:p>
    <w:p>
      <w:pPr>
        <w:pStyle w:val="ListBullet"/>
      </w:pPr>
      <w:r>
        <w:t>El alcance no incluye la implementación de un ERP completo.</w:t>
      </w:r>
    </w:p>
    <w:p>
      <w:pPr>
        <w:pStyle w:val="ListBullet"/>
      </w:pPr>
      <w:r>
        <w:t>Equipo conformado por un único consultor junior.</w:t>
      </w:r>
    </w:p>
    <w:p>
      <w:r>
        <w:t>[AQUÍ VA LA TABLA DE APROBACIONES DEL ACTA]</w:t>
      </w:r>
    </w:p>
    <w:p>
      <w:pPr>
        <w:pStyle w:val="Heading2"/>
      </w:pPr>
      <w:r>
        <w:t>2.2 Diseño de Actividades: Precedencias y Tiempos</w:t>
      </w:r>
    </w:p>
    <w:p>
      <w:r>
        <w:t>A continuación se presenta el diseño detallado de las actividades del proyecto, identificando sus precedencias inmediatas y sus tiempos estimados en semanas.</w:t>
      </w:r>
    </w:p>
    <w:p>
      <w:r>
        <w:t>[AQUÍ VA LA TABLA 2 - LISTADO DE ACTIVIDADES, PRECEDENCIAS Y TIEMPOS]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Precedencia</w:t>
            </w:r>
          </w:p>
        </w:tc>
        <w:tc>
          <w:tcPr>
            <w:tcW w:type="dxa" w:w="1728"/>
          </w:tcPr>
          <w:p>
            <w:r>
              <w:t>Tiempo (sem)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Acta de Constitución</w:t>
            </w:r>
          </w:p>
        </w:tc>
        <w:tc>
          <w:tcPr>
            <w:tcW w:type="dxa" w:w="1728"/>
          </w:tcPr>
          <w:p>
            <w:r>
              <w:t>Planear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Levantamiento balances</w:t>
            </w:r>
          </w:p>
        </w:tc>
        <w:tc>
          <w:tcPr>
            <w:tcW w:type="dxa" w:w="1728"/>
          </w:tcPr>
          <w:p>
            <w:r>
              <w:t>Planear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Diagnóstico brechas</w:t>
            </w:r>
          </w:p>
        </w:tc>
        <w:tc>
          <w:tcPr>
            <w:tcW w:type="dxa" w:w="1728"/>
          </w:tcPr>
          <w:p>
            <w:r>
              <w:t>Planear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Matriz de Brechas</w:t>
            </w:r>
          </w:p>
        </w:tc>
        <w:tc>
          <w:tcPr>
            <w:tcW w:type="dxa" w:w="1728"/>
          </w:tcPr>
          <w:p>
            <w:r>
              <w:t>Planear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Informe riesgos DIAN</w:t>
            </w:r>
          </w:p>
        </w:tc>
        <w:tc>
          <w:tcPr>
            <w:tcW w:type="dxa" w:w="1728"/>
          </w:tcPr>
          <w:p>
            <w:r>
              <w:t>Planear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Manual Políticas NIIF</w:t>
            </w:r>
          </w:p>
        </w:tc>
        <w:tc>
          <w:tcPr>
            <w:tcW w:type="dxa" w:w="1728"/>
          </w:tcPr>
          <w:p>
            <w:r>
              <w:t>Hacer</w:t>
            </w:r>
          </w:p>
        </w:tc>
        <w:tc>
          <w:tcPr>
            <w:tcW w:type="dxa" w:w="1728"/>
          </w:tcPr>
          <w:p>
            <w:r>
              <w:t>D, E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Macros Excel conciliación</w:t>
            </w:r>
          </w:p>
        </w:tc>
        <w:tc>
          <w:tcPr>
            <w:tcW w:type="dxa" w:w="1728"/>
          </w:tcPr>
          <w:p>
            <w:r>
              <w:t>Hacer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Medición impuestos</w:t>
            </w:r>
          </w:p>
        </w:tc>
        <w:tc>
          <w:tcPr>
            <w:tcW w:type="dxa" w:w="1728"/>
          </w:tcPr>
          <w:p>
            <w:r>
              <w:t>Hacer</w:t>
            </w:r>
          </w:p>
        </w:tc>
        <w:tc>
          <w:tcPr>
            <w:tcW w:type="dxa" w:w="1728"/>
          </w:tcPr>
          <w:p>
            <w:r>
              <w:t>F, G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Protocolo actualización</w:t>
            </w:r>
          </w:p>
        </w:tc>
        <w:tc>
          <w:tcPr>
            <w:tcW w:type="dxa" w:w="1728"/>
          </w:tcPr>
          <w:p>
            <w:r>
              <w:t>Hacer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Auditoría preventiva</w:t>
            </w:r>
          </w:p>
        </w:tc>
        <w:tc>
          <w:tcPr>
            <w:tcW w:type="dxa" w:w="1728"/>
          </w:tcPr>
          <w:p>
            <w:r>
              <w:t>Verificar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Pruebas de balance</w:t>
            </w:r>
          </w:p>
        </w:tc>
        <w:tc>
          <w:tcPr>
            <w:tcW w:type="dxa" w:w="1728"/>
          </w:tcPr>
          <w:p>
            <w:r>
              <w:t>Verificar</w:t>
            </w:r>
          </w:p>
        </w:tc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Revisión IFRS 18</w:t>
            </w:r>
          </w:p>
        </w:tc>
        <w:tc>
          <w:tcPr>
            <w:tcW w:type="dxa" w:w="1728"/>
          </w:tcPr>
          <w:p>
            <w:r>
              <w:t>Verificar</w:t>
            </w:r>
          </w:p>
        </w:tc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Informe Auditoría</w:t>
            </w:r>
          </w:p>
        </w:tc>
        <w:tc>
          <w:tcPr>
            <w:tcW w:type="dxa" w:w="1728"/>
          </w:tcPr>
          <w:p>
            <w:r>
              <w:t>Verificar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Dictamen Validación</w:t>
            </w:r>
          </w:p>
        </w:tc>
        <w:tc>
          <w:tcPr>
            <w:tcW w:type="dxa" w:w="1728"/>
          </w:tcPr>
          <w:p>
            <w:r>
              <w:t>Verificar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Mapa riesgos residuales</w:t>
            </w:r>
          </w:p>
        </w:tc>
        <w:tc>
          <w:tcPr>
            <w:tcW w:type="dxa" w:w="1728"/>
          </w:tcPr>
          <w:p>
            <w:r>
              <w:t>Verificar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Capacitación equipo</w:t>
            </w:r>
          </w:p>
        </w:tc>
        <w:tc>
          <w:tcPr>
            <w:tcW w:type="dxa" w:w="1728"/>
          </w:tcPr>
          <w:p>
            <w:r>
              <w:t>Actuar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Q</w:t>
            </w:r>
          </w:p>
        </w:tc>
        <w:tc>
          <w:tcPr>
            <w:tcW w:type="dxa" w:w="1728"/>
          </w:tcPr>
          <w:p>
            <w:r>
              <w:t>Entrenamiento sistema</w:t>
            </w:r>
          </w:p>
        </w:tc>
        <w:tc>
          <w:tcPr>
            <w:tcW w:type="dxa" w:w="1728"/>
          </w:tcPr>
          <w:p>
            <w:r>
              <w:t>Actuar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Manual Control Interno</w:t>
            </w:r>
          </w:p>
        </w:tc>
        <w:tc>
          <w:tcPr>
            <w:tcW w:type="dxa" w:w="1728"/>
          </w:tcPr>
          <w:p>
            <w:r>
              <w:t>Actuar</w:t>
            </w:r>
          </w:p>
        </w:tc>
        <w:tc>
          <w:tcPr>
            <w:tcW w:type="dxa" w:w="1728"/>
          </w:tcPr>
          <w:p>
            <w:r>
              <w:t>Q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Actas Capacitación</w:t>
            </w:r>
          </w:p>
        </w:tc>
        <w:tc>
          <w:tcPr>
            <w:tcW w:type="dxa" w:w="1728"/>
          </w:tcPr>
          <w:p>
            <w:r>
              <w:t>Actuar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Dossier Financiero</w:t>
            </w:r>
          </w:p>
        </w:tc>
        <w:tc>
          <w:tcPr>
            <w:tcW w:type="dxa" w:w="1728"/>
          </w:tcPr>
          <w:p>
            <w:r>
              <w:t>Actuar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Sustentación final</w:t>
            </w:r>
          </w:p>
        </w:tc>
        <w:tc>
          <w:tcPr>
            <w:tcW w:type="dxa" w:w="1728"/>
          </w:tcPr>
          <w:p>
            <w:r>
              <w:t>Actuar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2.3 Ejercicio de Ruta Crítica (CPM - Critical Path Method)</w:t>
      </w:r>
    </w:p>
    <w:p>
      <w:r>
        <w:t>El método de la Ruta Crítica (CPM) permite identificar la secuencia de actividades que determina la duración mínima del proyecto.</w:t>
      </w:r>
    </w:p>
    <w:p>
      <w:r>
        <w:t>[AQUÍ VA LA TABLA 4 - CÁLCULO DE RUTA CRÍTICA CPM]</w:t>
      </w:r>
    </w:p>
    <w:p>
      <w:r>
        <w:t>Identificación de la Ruta Crítica: Inicio → A → B → C → D → F → H → I → J → K → L → M → N → O → P → Q → R → S → T → U → Fin</w:t>
      </w:r>
    </w:p>
    <w:p>
      <w:r>
        <w:t>Duración Total del Proyecto según CPM: 22 semanas. Ajustado a 20 semanas mediante Fast Tracking y Crashing.</w:t>
      </w:r>
    </w:p>
    <w:p>
      <w:r>
        <w:t>[AQUÍ VA LA FIGURA 1 - DIAGRAMA DE RED DEL PROYECTO (AOA)]</w:t>
      </w:r>
    </w:p>
    <w:p>
      <w:pPr>
        <w:pStyle w:val="Heading1"/>
      </w:pPr>
      <w:r>
        <w:t>3. GESTIÓN DEL ALCANCE DEL PROYECTO</w:t>
      </w:r>
    </w:p>
    <w:p>
      <w:pPr>
        <w:pStyle w:val="Heading2"/>
      </w:pPr>
      <w:r>
        <w:t>3.1 Estructura del Desglose del Trabajo (EDT/WBS)</w:t>
      </w:r>
    </w:p>
    <w:p>
      <w:r>
        <w:t>La Estructura del Desglose del Trabajo (EDT/WBS) es una descomposición jerárquica orientada a los entregables del trabajo que el equipo de proyecto debe ejecutar para alcanzar los objetivos del proyecto.</w:t>
      </w:r>
    </w:p>
    <w:p>
      <w:r>
        <w:t>[AQUÍ VA LA TABLA 5 - ESTRUCTURA DEL DESGLOSE DEL TRABAJO EDT/WBS]</w:t>
      </w:r>
    </w:p>
    <w:p>
      <w:r>
        <w:t>[AQUÍ VA LA FIGURA 2 - DIAGRAMA JERÁRQUICO DE LA EDT/WBS]</w:t>
      </w:r>
    </w:p>
    <w:p>
      <w:pPr>
        <w:pStyle w:val="Heading2"/>
      </w:pPr>
      <w:r>
        <w:t>3.2 Cronograma de Trabajo (Diagrama de Gantt)</w:t>
      </w:r>
    </w:p>
    <w:p>
      <w:r>
        <w:t>[AQUÍ VA LA FIGURA 3 - DIAGRAMA DE GANTT DE RASTREO]</w:t>
      </w:r>
    </w:p>
    <w:p>
      <w:pPr>
        <w:pStyle w:val="Heading2"/>
      </w:pPr>
      <w:r>
        <w:t>3.3 Matriz de Responsabilidades (RACI)</w:t>
      </w:r>
    </w:p>
    <w:p>
      <w:r>
        <w:t>[AQUÍ VA LA TABLA 6 - MATRIZ RACI]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Actividad / Rol</w:t>
            </w:r>
          </w:p>
        </w:tc>
        <w:tc>
          <w:tcPr>
            <w:tcW w:type="dxa" w:w="1728"/>
          </w:tcPr>
          <w:p>
            <w:r>
              <w:t>Socio Director</w:t>
            </w:r>
          </w:p>
        </w:tc>
        <w:tc>
          <w:tcPr>
            <w:tcW w:type="dxa" w:w="1728"/>
          </w:tcPr>
          <w:p>
            <w:r>
              <w:t>Gerente Proyecto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Punto Focal</w:t>
            </w:r>
          </w:p>
        </w:tc>
      </w:tr>
      <w:tr>
        <w:tc>
          <w:tcPr>
            <w:tcW w:type="dxa" w:w="1728"/>
          </w:tcPr>
          <w:p>
            <w:r>
              <w:t>A. Acta Constitución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F. Manual Políticas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J. Auditoría preventiva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P. Capacitación equipo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T. Dossier Financiero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U. Sustentación final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>
      <w:pPr>
        <w:pStyle w:val="Heading1"/>
      </w:pPr>
      <w:r>
        <w:t>4. GESTIÓN DE RIESGOS</w:t>
      </w:r>
    </w:p>
    <w:p>
      <w:pPr>
        <w:pStyle w:val="Heading2"/>
      </w:pPr>
      <w:r>
        <w:t>4.1 Identificación de Riesgos</w:t>
      </w:r>
    </w:p>
    <w:p>
      <w:r>
        <w:t>R1. Riesgo Técnico - Complejidad normativa</w:t>
      </w:r>
    </w:p>
    <w:p>
      <w:r>
        <w:t>R2. Riesgo Externo - Disponibilidad de información</w:t>
      </w:r>
    </w:p>
    <w:p>
      <w:r>
        <w:t>R3. Riesgo Organizacional - Capacidad del personal</w:t>
      </w:r>
    </w:p>
    <w:p>
      <w:r>
        <w:t>R4. Riesgo de Gestión - Alcance incremental (Scope Creep)</w:t>
      </w:r>
    </w:p>
    <w:p>
      <w:pPr>
        <w:pStyle w:val="Heading2"/>
      </w:pPr>
      <w:r>
        <w:t>4.2 Matriz de Riesgos</w:t>
      </w:r>
    </w:p>
    <w:p>
      <w:r>
        <w:t>[AQUÍ VA LA TABLA 7 - MATRIZ DE RIESGOS]</w:t>
      </w:r>
    </w:p>
    <w:p>
      <w:r>
        <w:t>[AQUÍ VA LA FIGURA 4 - MAPA DE CALOR DE RIESGOS]</w:t>
      </w:r>
    </w:p>
    <w:p>
      <w:pPr>
        <w:pStyle w:val="Heading2"/>
      </w:pPr>
      <w:r>
        <w:t>4.3 Plan de Respuesta a Riesgos</w:t>
      </w:r>
    </w:p>
    <w:p>
      <w:r>
        <w:t>[AQUÍ VA LA TABLA 8 - PLAN DE RESPUESTA A RIESGOS]</w:t>
      </w:r>
    </w:p>
    <w:p>
      <w:pPr>
        <w:pStyle w:val="Heading1"/>
      </w:pPr>
      <w:r>
        <w:t>5. REFERENCIAS BIBLIOGRÁFICAS</w:t>
      </w:r>
    </w:p>
    <w:p>
      <w:r>
        <w:t>IFRS Foundation. (2021). Norma Internacional de Información Financiera para Pequeñas y Medianas Entidades (NIIF para las Pymes).</w:t>
      </w:r>
    </w:p>
    <w:p>
      <w:r>
        <w:t>Project Management Institute [PMI]. (2021). Guía de los fundamentos para la dirección de proyectos (Guía del PMBOK) (7.a ed.).</w:t>
      </w:r>
    </w:p>
    <w:p>
      <w:r>
        <w:t>Mantilla, S. A. (2021). Estándares internacionales de información financiera (NIIF/IFRS) (6.a ed.). Ecoe Ediciones.</w:t>
      </w:r>
    </w:p>
    <w:p>
      <w:r>
        <w:t>Villamizar, T. (2025). Tax Risk Management and the Business Case Methodology.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