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rPr>
          <w:trHeight w:val="42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Luis Carlos Tan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02/21/18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/test/models/reply_test.rb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2"/>
        </w:numPr>
        <w:rPr>
          <w:rFonts w:ascii="Garamond" w:cs="Garamond" w:eastAsia="Garamond" w:hAnsi="Garamond"/>
          <w:sz w:val="20"/>
          <w:szCs w:val="20"/>
        </w:rPr>
      </w:pPr>
      <w:bookmarkStart w:colFirst="0" w:colLast="0" w:name="_ncnodnmdt98f"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3"/>
        </w:numPr>
        <w:rPr>
          <w:rFonts w:ascii="Garamond" w:cs="Garamond" w:eastAsia="Garamond" w:hAnsi="Garamond"/>
          <w:sz w:val="20"/>
          <w:szCs w:val="20"/>
        </w:rPr>
      </w:pPr>
      <w:bookmarkStart w:colFirst="0" w:colLast="0" w:name="_e85yap979h49"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1"/>
        </w:numPr>
        <w:rPr>
          <w:rFonts w:ascii="Garamond" w:cs="Garamond" w:eastAsia="Garamond" w:hAnsi="Garamond"/>
          <w:sz w:val="20"/>
          <w:szCs w:val="20"/>
        </w:rPr>
      </w:pPr>
      <w:bookmarkStart w:colFirst="0" w:colLast="0" w:name="_h742sfkjqhnb" w:id="2"/>
      <w:bookmarkEnd w:id="2"/>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4"/>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