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application_job.rb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1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3"/>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3"/>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7"/>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0"/>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1"/>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5"/>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3"/>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14"/>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2"/>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1"/>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9"/>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4"/>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12"/>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15"/>
        </w:numPr>
        <w:rPr>
          <w:rFonts w:ascii="Garamond" w:cs="Garamond" w:eastAsia="Garamond" w:hAnsi="Garamond"/>
          <w:sz w:val="20"/>
          <w:szCs w:val="20"/>
        </w:rPr>
      </w:pPr>
      <w:bookmarkStart w:colFirst="0" w:colLast="0" w:name="_pcvjj8tbbp6p" w:id="12"/>
      <w:bookmarkEnd w:id="12"/>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pStyle w:val="Heading1"/>
        <w:numPr>
          <w:ilvl w:val="0"/>
          <w:numId w:val="8"/>
        </w:numPr>
        <w:rPr>
          <w:rFonts w:ascii="Garamond" w:cs="Garamond" w:eastAsia="Garamond" w:hAnsi="Garamond"/>
          <w:sz w:val="20"/>
          <w:szCs w:val="20"/>
        </w:rPr>
      </w:pPr>
      <w:bookmarkStart w:colFirst="0" w:colLast="0" w:name="_7x2pkhbj4ph4" w:id="13"/>
      <w:bookmarkEnd w:id="13"/>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A">
      <w:pPr>
        <w:pStyle w:val="Heading1"/>
        <w:numPr>
          <w:ilvl w:val="0"/>
          <w:numId w:val="6"/>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