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home\mailer.html.erb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bookmarkStart w:colFirst="0" w:colLast="0" w:name="_4akln8gunanq"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ndkhd4twvllq"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