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6"/>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6"/>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6"/>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8"/>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3"/>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5"/>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7"/>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