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5"/>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5"/>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7"/>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1"/>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2"/>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15"/>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16"/>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4"/>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3"/>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3"/>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9"/>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10"/>
        </w:numPr>
        <w:rPr>
          <w:rFonts w:ascii="Garamond" w:cs="Garamond" w:eastAsia="Garamond" w:hAnsi="Garamond"/>
          <w:sz w:val="20"/>
          <w:szCs w:val="20"/>
        </w:rPr>
      </w:pPr>
      <w:bookmarkStart w:colFirst="0" w:colLast="0" w:name="_a1xa8kdua8bi"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8"/>
        </w:numPr>
        <w:rPr>
          <w:rFonts w:ascii="Garamond" w:cs="Garamond" w:eastAsia="Garamond" w:hAnsi="Garamond"/>
          <w:sz w:val="20"/>
          <w:szCs w:val="20"/>
        </w:rPr>
      </w:pPr>
      <w:bookmarkStart w:colFirst="0" w:colLast="0" w:name="_dcp06i73xdb7" w:id="14"/>
      <w:bookmarkEnd w:id="14"/>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pStyle w:val="Heading1"/>
        <w:numPr>
          <w:ilvl w:val="0"/>
          <w:numId w:val="6"/>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D">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