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home.coffee</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initially committed.</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initially committed.</w:t>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4"/>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4"/>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6"/>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5"/>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3"/>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2"/>
        </w:numPr>
        <w:rPr>
          <w:rFonts w:ascii="Garamond" w:cs="Garamond" w:eastAsia="Garamond" w:hAnsi="Garamond"/>
          <w:sz w:val="20"/>
          <w:szCs w:val="20"/>
        </w:rPr>
      </w:pPr>
      <w:bookmarkStart w:colFirst="0" w:colLast="0" w:name="_oda0fpo5ayoj"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7"/>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