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5"/>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6"/>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2"/>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8"/>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6"/>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9"/>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2"/>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3"/>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3"/>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7"/>
        </w:numPr>
        <w:rPr>
          <w:rFonts w:ascii="Garamond" w:cs="Garamond" w:eastAsia="Garamond" w:hAnsi="Garamond"/>
          <w:sz w:val="20"/>
          <w:szCs w:val="20"/>
        </w:rPr>
      </w:pPr>
      <w:bookmarkStart w:colFirst="0" w:colLast="0" w:name="_a1xa8kdua8bi"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5"/>
        </w:numPr>
        <w:rPr>
          <w:rFonts w:ascii="Garamond" w:cs="Garamond" w:eastAsia="Garamond" w:hAnsi="Garamond"/>
          <w:sz w:val="20"/>
          <w:szCs w:val="20"/>
        </w:rPr>
      </w:pPr>
      <w:bookmarkStart w:colFirst="0" w:colLast="0" w:name="_8c1f7tp25qk8" w:id="14"/>
      <w:bookmarkEnd w:id="14"/>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pStyle w:val="Heading1"/>
        <w:numPr>
          <w:ilvl w:val="0"/>
          <w:numId w:val="10"/>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D">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