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CONTROLE DIÁRIO DE CICLOS DE FUNÇÃO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Responsável: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João Pedro Aguiar Sousa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Data: </w:t>
        <w:tab/>
        <w:t xml:space="preserve">04/01/2022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Estagiário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13:00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  ) Concluído   ( X ) Salto para próximo ciclo. Número do salto: (01)                 Hora término:15:00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15:00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  ) Concluído   ( X )Salto para próximo ciclo. Número do salto: ( 02 )          Hora término:17:00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17:00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0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X ) Concluído   (   )Salto para próximo ciclo. Número do salto: ( 00 )          Hora término:19:00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Ciclo: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487"/>
        <w:gridCol w:w="2977"/>
      </w:tblGrid>
      <w:tr>
        <w:trPr>
          <w:trHeight w:val="1" w:hRule="atLeast"/>
          <w:jc w:val="left"/>
        </w:trPr>
        <w:tc>
          <w:tcPr>
            <w:tcW w:w="6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resumida das atividades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Hora início: </w:t>
            </w: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" w:hRule="auto"/>
          <w:jc w:val="left"/>
        </w:trPr>
        <w:tc>
          <w:tcPr>
            <w:tcW w:w="94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Situação: (   ) Concluído   (    ) Salto para próximo ciclo. Número do salto: (00)                     Hora término: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