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Cordial saludo, Luis, Paula, Juan y Martin.</w:t>
      </w:r>
    </w:p>
    <w:p w:rsidR="00000000" w:rsidDel="00000000" w:rsidP="00000000" w:rsidRDefault="00000000" w:rsidRPr="00000000" w14:paraId="00000002">
      <w:pPr>
        <w:spacing w:after="240" w:before="240" w:lineRule="auto"/>
        <w:rPr/>
      </w:pPr>
      <w:r w:rsidDel="00000000" w:rsidR="00000000" w:rsidRPr="00000000">
        <w:rPr>
          <w:rtl w:val="0"/>
        </w:rPr>
        <w:t xml:space="preserve">Al revisar el documento SRS del proyecto “Échele Camello”, se evidencia un avance importante frente a la estructuración de la propuesta, ya que el documento presenta una problemática clara, objetivos amplios, alcance por etapas, personal involucrado, definiciones, referencias, descripción general, interfaces, historias de usuario, requerimientos funcionales y requerimientos no funcionales. La propuesta es pertinente para ADSO, porque aborda una necesidad real relacionada con la intermediación digital entre clientes y trabajadores independientes o informales, incorporando módulos de registro, perfiles, publicación de servicios, búsqueda, geolocalización, agendamiento, mensajería, calificaciones, reportes y administración de la plataforma.</w:t>
      </w:r>
    </w:p>
    <w:p w:rsidR="00000000" w:rsidDel="00000000" w:rsidP="00000000" w:rsidRDefault="00000000" w:rsidRPr="00000000" w14:paraId="00000003">
      <w:pPr>
        <w:spacing w:after="240" w:before="240" w:lineRule="auto"/>
        <w:rPr/>
      </w:pPr>
      <w:r w:rsidDel="00000000" w:rsidR="00000000" w:rsidRPr="00000000">
        <w:rPr>
          <w:rtl w:val="0"/>
        </w:rPr>
        <w:t xml:space="preserve">En la portada se presenta el nombre del proyecto, los integrantes, la ciudad, la fecha y la sede; sin embargo, todavía falta mayor formalidad institucional bajo normas APA 7.ª edición. Se recomienda incluir claramente Servicio Nacional de Aprendizaje – SENA, Centro de la Industria, la Empresa y los Servicios, Regional Huila, programa de formación, ficha, nombre del instructor, ciudad y fecha completa. También se debe corregir la tabla de contenido, ya que aparece repetido “Contenido” y la numeración no corresponde con la estructura esperada del SRS. Actualmente, los requerimientos funcionales aparecen como punto 1, los no funcionales como punto 2 y las historias de usuario como punto 3, cuando el documento debe conservar la estructura: 1. Introducción, 2. Descripción general y 3. Requisitos específicos.</w:t>
      </w:r>
    </w:p>
    <w:p w:rsidR="00000000" w:rsidDel="00000000" w:rsidP="00000000" w:rsidRDefault="00000000" w:rsidRPr="00000000" w14:paraId="00000004">
      <w:pPr>
        <w:spacing w:after="240" w:before="240" w:lineRule="auto"/>
        <w:rPr/>
      </w:pPr>
      <w:r w:rsidDel="00000000" w:rsidR="00000000" w:rsidRPr="00000000">
        <w:rPr>
          <w:rtl w:val="0"/>
        </w:rPr>
        <w:t xml:space="preserve">En el punto 1 hasta el 1.9 se encuentran los apartados principales, pero no están numerados de manera formal como 1.1, 1.2, 1.3, 1.4, 1.4.1, 1.5, 1.6, 1.7, 1.8 y 1.9. Esta situación debe corregirse para cumplir con la estructura solicitada. El planteamiento del problema está bien sustentado, especialmente porque utiliza datos del DANE sobre informalidad laboral en Colombia y explica cómo la falta de presencia digital afecta a trabajadores y usuarios. No obstante, se recomienda complementar con información local de Neiva o Huila, por ejemplo, mediante entrevistas, encuestas o análisis de cómo los trabajadores independientes consiguen clientes actualmente.</w:t>
      </w:r>
    </w:p>
    <w:p w:rsidR="00000000" w:rsidDel="00000000" w:rsidP="00000000" w:rsidRDefault="00000000" w:rsidRPr="00000000" w14:paraId="00000005">
      <w:pPr>
        <w:spacing w:after="240" w:before="240" w:lineRule="auto"/>
        <w:rPr/>
      </w:pPr>
      <w:r w:rsidDel="00000000" w:rsidR="00000000" w:rsidRPr="00000000">
        <w:rPr>
          <w:rtl w:val="0"/>
        </w:rPr>
        <w:t xml:space="preserve">El propósito del proyecto requiere una mejora importante. Actualmente aparece como una lista de funcionalidades y aspectos generales, pero debe redactarse en párrafos técnicos que expliquen el propósito del documento SRS y del sistema. Debe indicar que el documento servirá como base para analizar, diseñar, construir, probar y validar la plataforma. Además, el punto “Reducción de la informalidad desorganizada” aparece con una nota interna “hacer revisión de este punto”, lo cual debe eliminarse antes de entregar, porque da la impresión de que el documento no fue depurado completamente.</w:t>
      </w:r>
    </w:p>
    <w:p w:rsidR="00000000" w:rsidDel="00000000" w:rsidP="00000000" w:rsidRDefault="00000000" w:rsidRPr="00000000" w14:paraId="00000006">
      <w:pPr>
        <w:spacing w:after="240" w:before="240" w:lineRule="auto"/>
        <w:rPr/>
      </w:pPr>
      <w:r w:rsidDel="00000000" w:rsidR="00000000" w:rsidRPr="00000000">
        <w:rPr>
          <w:rtl w:val="0"/>
        </w:rPr>
        <w:t xml:space="preserve">La justificación es pertinente porque identifica la necesidad de una alternativa digital para trabajadores independientes y reconoce que existen plataformas como LinkedIn, Google Maps Business y Facebook Marketplace. Este es un avance frente a la investigación de referentes del mercado. Sin embargo, todavía no se evidencia una investigación tecnológica completa de productos existentes. El equipo menciona algunas plataformas, pero no las compara en una tabla ni analiza sus funcionalidades, ventajas, limitaciones o diferencias frente a Échele Camello. Se recomienda incluir una comparación con plataformas de empleo, directorios de negocios, marketplaces de servicios, aplicaciones de domicilios o contratación de oficios, indicando qué elementos se tomarán como referencia y qué necesidad específica no resuelven para trabajadores informales de proximidad.</w:t>
      </w:r>
    </w:p>
    <w:p w:rsidR="00000000" w:rsidDel="00000000" w:rsidP="00000000" w:rsidRDefault="00000000" w:rsidRPr="00000000" w14:paraId="00000007">
      <w:pPr>
        <w:spacing w:after="240" w:before="240" w:lineRule="auto"/>
        <w:rPr/>
      </w:pPr>
      <w:r w:rsidDel="00000000" w:rsidR="00000000" w:rsidRPr="00000000">
        <w:rPr>
          <w:rtl w:val="0"/>
        </w:rPr>
        <w:t xml:space="preserve">El objetivo general está bien orientado y refleja el ciclo de vida del software, porque menciona análisis, diseño, construcción, pruebas e implementación. Los objetivos específicos también están relacionados con módulos concretos del sistema, como autenticación, perfiles, publicación de servicios, búsqueda, geolocalización, agendamiento, comunicación, calificaciones, reportes y panel administrativo. Sin embargo, algunos objetivos son demasiado amplios y deben verificarse con el alcance real del proyecto. Es importante que cada objetivo específico tenga relación directa con los módulos que realmente se construirán en la primera versión y no con funcionalidades que quedarían para etapas futuras.</w:t>
      </w:r>
    </w:p>
    <w:p w:rsidR="00000000" w:rsidDel="00000000" w:rsidP="00000000" w:rsidRDefault="00000000" w:rsidRPr="00000000" w14:paraId="00000008">
      <w:pPr>
        <w:spacing w:after="240" w:before="240" w:lineRule="auto"/>
        <w:rPr/>
      </w:pPr>
      <w:r w:rsidDel="00000000" w:rsidR="00000000" w:rsidRPr="00000000">
        <w:rPr>
          <w:rtl w:val="0"/>
        </w:rPr>
        <w:t xml:space="preserve">El alcance está mejor estructurado porque se divide en etapas: versión inicial, optimización de interacción y expansión. Esta decisión es positiva, ya que permite priorizar el desarrollo y diferenciar lo esencial de lo deseable. Para fortalecerlo, deben indicar con más precisión qué funcionalidades harán parte del MVP y cuáles quedarán como versiones futuras. También se recomienda revisar la coherencia entre el alcance y los requerimientos funcionales, porque el documento plantea 61 requerimientos funcionales, lo cual puede ser demasiado amplio para una primera versión si no se prioriza con claridad.</w:t>
      </w:r>
    </w:p>
    <w:p w:rsidR="00000000" w:rsidDel="00000000" w:rsidP="00000000" w:rsidRDefault="00000000" w:rsidRPr="00000000" w14:paraId="00000009">
      <w:pPr>
        <w:spacing w:after="240" w:before="240" w:lineRule="auto"/>
        <w:rPr/>
      </w:pPr>
      <w:r w:rsidDel="00000000" w:rsidR="00000000" w:rsidRPr="00000000">
        <w:rPr>
          <w:rtl w:val="0"/>
        </w:rPr>
        <w:t xml:space="preserve">En la descripción general se desarrolla la perspectiva del producto, características de usuarios, restricciones, suposiciones y dependencias. Estos apartados son pertinentes, pero deben numerarse como 2, 2.1, 2.2, 2.3 y 2.4 e incluirse correctamente en la tabla de contenido. Las interfaces de usuario, hardware, software y comunicación están bien desarrolladas y muestran intención técnica, pero deben quedar dentro del punto 3.1 Requisitos comunes de las interfaces. Se recomienda revisar que las restricciones incluyan también limitaciones sobre geolocalización, disponibilidad de conexión, precisión de ubicación, protección de datos personales, uso de servicios externos y alcance de la aplicación móvil Android.</w:t>
      </w:r>
    </w:p>
    <w:p w:rsidR="00000000" w:rsidDel="00000000" w:rsidP="00000000" w:rsidRDefault="00000000" w:rsidRPr="00000000" w14:paraId="0000000A">
      <w:pPr>
        <w:spacing w:after="240" w:before="240" w:lineRule="auto"/>
        <w:rPr/>
      </w:pPr>
      <w:r w:rsidDel="00000000" w:rsidR="00000000" w:rsidRPr="00000000">
        <w:rPr>
          <w:rtl w:val="0"/>
        </w:rPr>
        <w:t xml:space="preserve">Las historias de usuario son coherentes con el proyecto y están organizadas por módulos, lo cual es positivo. No obstante, deben revisarse algunas inconsistencias. Por ejemplo, en HU-06 “Publicación de servicios”, los criterios de aceptación corresponden a disponibilidad laboral y no a publicación de servicios, por lo cual deben corregirse. En HU-13 se repite el criterio “El sistema deberá mostrar únicamente resultados asociados a la ubicación seleccionada”. También se observan errores de redacción como “Como cliente u trabajador”, “intercambiar mensaje”, “Envió de imágenes” y algunas frases incompletas. Además, faltan historias de usuario para módulos que sí aparecen en los requerimientos funcionales, como calificaciones, reportes, administración, bloqueo de cuentas, categorías, seguridad y sesiones activas. Se recomienda crear una matriz de trazabilidad que relacione cada historia de usuario con su RF correspondiente.</w:t>
      </w:r>
    </w:p>
    <w:p w:rsidR="00000000" w:rsidDel="00000000" w:rsidP="00000000" w:rsidRDefault="00000000" w:rsidRPr="00000000" w14:paraId="0000000B">
      <w:pPr>
        <w:spacing w:after="240" w:before="240" w:lineRule="auto"/>
        <w:rPr/>
      </w:pPr>
      <w:r w:rsidDel="00000000" w:rsidR="00000000" w:rsidRPr="00000000">
        <w:rPr>
          <w:rtl w:val="0"/>
        </w:rPr>
        <w:t xml:space="preserve">Los requerimientos funcionales están bastante desarrollados y cubren módulos importantes para el proyecto. Se destaca que varios RF tienen identificador, nombre, tipo, prioridad, entrada, salida, descripción, situaciones anormales y criterios de aceptación. Sin embargo, se deben corregir inconsistencias de numeración, por ejemplo, usar un solo formato: RF-001, RF-002 o RF-01, pero no mezclarlos con RF-010. También se debe revisar la asociación entre requerimientos, ya que algunos RF remiten a otros requerimientos que aparecen mucho después o cuya relación debe justificarse mejor. En los RNF se evidencian aspectos importantes como arquitectura modular, escalabilidad, compatibilidad, seguridad, encriptación, protección de datos, usabilidad, pruebas y compatibilidad futura con Android; sin embargo, algunos deben tener métricas más verificables, como tiempos de respuesta, disponibilidad, usuarios concurrentes, frecuencia de respaldo, criterios de accesibilidad y condiciones de seguridad.</w:t>
      </w:r>
    </w:p>
    <w:p w:rsidR="00000000" w:rsidDel="00000000" w:rsidP="00000000" w:rsidRDefault="00000000" w:rsidRPr="00000000" w14:paraId="0000000C">
      <w:pPr>
        <w:spacing w:after="240" w:before="240" w:lineRule="auto"/>
        <w:rPr/>
      </w:pPr>
      <w:r w:rsidDel="00000000" w:rsidR="00000000" w:rsidRPr="00000000">
        <w:rPr>
          <w:rtl w:val="0"/>
        </w:rPr>
        <w:t xml:space="preserve">En cuanto a normas APA 7.ª edición, la lista de referencias muestra un avance porque incluye DANE, CEPAL, Google, LinkedIn, MinTIC, OIT, Ley 1581 e IEEE. Sin embargo, debe revisarse el formato: ordenar alfabéticamente, aplicar sangría francesa, verificar títulos exactos, años, enlaces, entidades responsables y coherencia entre citas y referencias. También deben citar dentro del texto todas las fuentes utilizadas, especialmente cuando se mencionan cifras, leyes, transformación digital, informalidad, plataformas existentes o protección de datos. En conclusión, el documento está avanzado y tiene una base funcional sólida, pero requiere corregir estructura, numeración, tabla de contenido, propósito, justificación con investigación de mercado, trazabilidad entre HU y RF, ortografía, redacción y aplicación completa de APA. Los puntos 1, 2 y 3 deben quedar completos, coherentes y técnicamente asociados al proyecto.</w:t>
      </w:r>
    </w:p>
    <w:p w:rsidR="00000000" w:rsidDel="00000000" w:rsidP="00000000" w:rsidRDefault="00000000" w:rsidRPr="00000000" w14:paraId="0000000D">
      <w:pPr>
        <w:spacing w:after="240" w:before="240" w:lineRule="auto"/>
        <w:rPr/>
      </w:pPr>
      <w:r w:rsidDel="00000000" w:rsidR="00000000" w:rsidRPr="00000000">
        <w:rPr>
          <w:rtl w:val="0"/>
        </w:rPr>
        <w:t xml:space="preserve">Cordialmente,</w:t>
        <w:br w:type="textWrapping"/>
        <w:t xml:space="preserve">Carlos Fabián Martínez</w:t>
        <w:br w:type="textWrapping"/>
        <w:t xml:space="preserve">Instructor – Componente Técnico</w:t>
        <w:br w:type="textWrapping"/>
        <w:t xml:space="preserve">Servicio Nacional de Aprendizaje – SENA</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