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87722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2"/>
                    <a:stretch>
                      <a:fillRect/>
                    </a:stretch>
                  </pic:blipFill>
                  <pic:spPr>
                    <a:xfrm>
                      <a:off x="0" y="0"/>
                      <a:ext cx="1877220" cy="1600200"/>
                    </a:xfrm>
                    <a:prstGeom prst="rect"/>
                  </pic:spPr>
                </pic:pic>
              </a:graphicData>
            </a:graphic>
          </wp:inline>
        </w:drawing>
      </w:r>
    </w:p>
    <w:p>
      <w:pPr>
        <w:spacing w:after="80"/>
        <w:jc w:val="center"/>
      </w:pPr>
      <w:r>
        <w:drawing>
          <wp:inline xmlns:a="http://schemas.openxmlformats.org/drawingml/2006/main" xmlns:pic="http://schemas.openxmlformats.org/drawingml/2006/picture">
            <wp:extent cx="1740610" cy="1600199"/>
            <wp:docPr id="2" name="Picture 2"/>
            <wp:cNvGraphicFramePr>
              <a:graphicFrameLocks noChangeAspect="1"/>
            </wp:cNvGraphicFramePr>
            <a:graphic>
              <a:graphicData uri="http://schemas.openxmlformats.org/drawingml/2006/picture">
                <pic:pic>
                  <pic:nvPicPr>
                    <pic:cNvPr id="0" name="pulso-q-logo.png"/>
                    <pic:cNvPicPr/>
                  </pic:nvPicPr>
                  <pic:blipFill>
                    <a:blip r:embed="rId13"/>
                    <a:stretch>
                      <a:fillRect/>
                    </a:stretch>
                  </pic:blipFill>
                  <pic:spPr>
                    <a:xfrm>
                      <a:off x="0" y="0"/>
                      <a:ext cx="1740610" cy="1600199"/>
                    </a:xfrm>
                    <a:prstGeom prst="rect"/>
                  </pic:spPr>
                </pic:pic>
              </a:graphicData>
            </a:graphic>
          </wp:inline>
        </w:drawing>
      </w:r>
    </w:p>
    <w:p>
      <w:pPr>
        <w:jc w:val="center"/>
      </w:pPr>
      <w:r>
        <w:rPr>
          <w:b/>
          <w:color w:val="004B87"/>
        </w:rPr>
        <w:t>Secretaría de Cultura del Estado de Guanajuato</w:t>
      </w:r>
    </w:p>
    <w:p>
      <w:pPr>
        <w:pStyle w:val="Title"/>
      </w:pPr>
      <w:r>
        <w:rPr>
          <w:b w:val="0"/>
          <w:i w:val="0"/>
        </w:rPr>
        <w:t>Diagnóstico de información institucional</w:t>
      </w:r>
    </w:p>
    <w:p>
      <w:pPr>
        <w:jc w:val="center"/>
      </w:pPr>
      <w:r>
        <w:rPr>
          <w:color w:val="425466"/>
        </w:rPr>
        <w:t>Entregable 1 del servicio de sistematización de información institucional y diseño funcional del Sistema de Información Cultural</w:t>
      </w:r>
    </w:p>
    <w:p>
      <w:r>
        <w:br w:type="page"/>
      </w:r>
    </w:p>
    <w:p>
      <w:pPr>
        <w:pStyle w:val="Heading1"/>
      </w:pPr>
      <w:r>
        <w:rPr>
          <w:b w:val="0"/>
          <w:i w:val="0"/>
        </w:rPr>
        <w:t>Contenido</w:t>
      </w:r>
    </w:p>
    <w:p>
      <w:pPr>
        <w:pStyle w:val="ListNumber"/>
        <w:ind w:left="0"/>
      </w:pPr>
      <w:r>
        <w:rPr>
          <w:sz w:val="18"/>
        </w:rPr>
        <w:t>Diagnóstico general</w:t>
      </w:r>
    </w:p>
    <w:p>
      <w:pPr>
        <w:pStyle w:val="ListNumber"/>
        <w:ind w:left="317"/>
      </w:pPr>
      <w:r>
        <w:rPr>
          <w:sz w:val="18"/>
        </w:rPr>
        <w:t>Diagnóstico del estado de los datos</w:t>
      </w:r>
    </w:p>
    <w:p>
      <w:pPr>
        <w:pStyle w:val="ListNumber"/>
        <w:ind w:left="317"/>
      </w:pPr>
      <w:r>
        <w:rPr>
          <w:sz w:val="18"/>
        </w:rPr>
        <w:t>Análisis de viabilidad por indicador</w:t>
      </w:r>
    </w:p>
    <w:p>
      <w:pPr>
        <w:pStyle w:val="ListNumber"/>
        <w:ind w:left="317"/>
      </w:pPr>
      <w:r>
        <w:rPr>
          <w:sz w:val="18"/>
        </w:rPr>
        <w:t>Identificación de barreras estructurales</w:t>
      </w:r>
    </w:p>
    <w:p>
      <w:pPr>
        <w:pStyle w:val="ListNumber"/>
        <w:ind w:left="0"/>
      </w:pPr>
      <w:r>
        <w:rPr>
          <w:sz w:val="18"/>
        </w:rPr>
        <w:t>Diagnóstico por área</w:t>
      </w:r>
    </w:p>
    <w:p>
      <w:pPr>
        <w:pStyle w:val="ListNumber"/>
        <w:ind w:left="317"/>
      </w:pPr>
      <w:r>
        <w:rPr>
          <w:sz w:val="18"/>
        </w:rPr>
        <w:t>Coordinación de Desarrollo Cultural Municipal</w:t>
      </w:r>
    </w:p>
    <w:p>
      <w:pPr>
        <w:pStyle w:val="ListNumber"/>
        <w:ind w:left="317"/>
      </w:pPr>
      <w:r>
        <w:rPr>
          <w:sz w:val="18"/>
        </w:rPr>
        <w:t>Coordinación de Vinculación y Redes Culturales</w:t>
      </w:r>
    </w:p>
    <w:p>
      <w:pPr>
        <w:pStyle w:val="ListNumber"/>
        <w:ind w:left="317"/>
      </w:pPr>
      <w:r>
        <w:rPr>
          <w:sz w:val="18"/>
        </w:rPr>
        <w:t>Dirección General de Patrimonio Cultural</w:t>
      </w:r>
    </w:p>
    <w:p>
      <w:pPr>
        <w:pStyle w:val="ListNumber"/>
        <w:ind w:left="317"/>
      </w:pPr>
      <w:r>
        <w:rPr>
          <w:sz w:val="18"/>
        </w:rPr>
        <w:t>Dirección General de Museos Artes Visuales y Exposiciones</w:t>
      </w:r>
    </w:p>
    <w:p>
      <w:pPr>
        <w:pStyle w:val="ListNumber"/>
        <w:ind w:left="317"/>
      </w:pPr>
      <w:r>
        <w:rPr>
          <w:sz w:val="18"/>
        </w:rPr>
        <w:t>Dirección General de Producción Artística</w:t>
      </w:r>
    </w:p>
    <w:p>
      <w:pPr>
        <w:pStyle w:val="ListNumber"/>
        <w:ind w:left="317"/>
      </w:pPr>
      <w:r>
        <w:rPr>
          <w:sz w:val="18"/>
        </w:rPr>
        <w:t>Dirección General del Forum Cultural Guanajuato</w:t>
      </w:r>
    </w:p>
    <w:p>
      <w:pPr>
        <w:pStyle w:val="ListNumber"/>
        <w:ind w:left="317"/>
      </w:pPr>
      <w:r>
        <w:rPr>
          <w:sz w:val="18"/>
        </w:rPr>
        <w:t>Dirección General Editorial y de Publicaciones</w:t>
      </w:r>
    </w:p>
    <w:p>
      <w:pPr>
        <w:pStyle w:val="ListNumber"/>
        <w:ind w:left="317"/>
      </w:pPr>
      <w:r>
        <w:rPr>
          <w:sz w:val="18"/>
        </w:rPr>
        <w:t>Dirección General de Formación e Investigación</w:t>
      </w:r>
    </w:p>
    <w:p>
      <w:pPr>
        <w:pStyle w:val="ListNumber"/>
        <w:ind w:left="0"/>
      </w:pPr>
      <w:r>
        <w:rPr>
          <w:sz w:val="18"/>
        </w:rPr>
        <w:t>Anexos técnicos</w:t>
      </w:r>
    </w:p>
    <w:p>
      <w:r>
        <w:br w:type="page"/>
      </w:r>
    </w:p>
    <w:p>
      <w:pPr>
        <w:pStyle w:val="Heading1"/>
      </w:pPr>
      <w:r>
        <w:rPr>
          <w:b w:val="0"/>
          <w:i w:val="0"/>
        </w:rPr>
        <w:t>Ficha técnica del entregable</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c>
          <w:tcPr>
            <w:tcW w:type="dxa" w:w="10452"/>
            <w:gridSpan w:val="4"/>
            <w:vAlign w:val="center"/>
            <w:shd w:fill="004B87"/>
          </w:tcPr>
          <w:p>
            <w:pPr>
              <w:spacing w:after="20"/>
            </w:pPr>
            <w:r>
              <w:rPr>
                <w:rFonts w:ascii="Helvetica Neue" w:hAnsi="Helvetica Neue"/>
                <w:b/>
                <w:color w:val="FFFFFF"/>
                <w:sz w:val="16"/>
              </w:rPr>
              <w:t>Cédula de control técnico del entregable</w:t>
            </w:r>
          </w:p>
        </w:tc>
      </w:tr>
      <w:tr>
        <w:tc>
          <w:tcPr>
            <w:tcW w:type="dxa" w:w="2613"/>
            <w:vAlign w:val="center"/>
            <w:shd w:fill="004B87"/>
          </w:tcPr>
          <w:p>
            <w:pPr>
              <w:spacing w:after="20"/>
            </w:pPr>
            <w:r>
              <w:rPr>
                <w:rFonts w:ascii="Helvetica Neue" w:hAnsi="Helvetica Neue"/>
                <w:b/>
                <w:color w:val="FFFFFF"/>
                <w:sz w:val="16"/>
              </w:rPr>
              <w:t>Servicio:</w:t>
            </w:r>
          </w:p>
        </w:tc>
        <w:tc>
          <w:tcPr>
            <w:tcW w:type="dxa" w:w="7839"/>
            <w:gridSpan w:val="3"/>
            <w:vAlign w:val="center"/>
          </w:tcPr>
          <w:p>
            <w:pPr>
              <w:spacing w:after="20"/>
            </w:pPr>
            <w:r>
              <w:rPr>
                <w:rFonts w:ascii="Helvetica Neue" w:hAnsi="Helvetica Neue"/>
                <w:sz w:val="16"/>
              </w:rPr>
              <w:t>Sistematización de Información Institucional y Diseño Funcional del Sistema de Información Cultural</w:t>
            </w:r>
          </w:p>
        </w:tc>
      </w:tr>
      <w:tr>
        <w:tc>
          <w:tcPr>
            <w:tcW w:type="dxa" w:w="2613"/>
            <w:vAlign w:val="center"/>
            <w:shd w:fill="004B87"/>
          </w:tcPr>
          <w:p>
            <w:pPr>
              <w:spacing w:after="20"/>
            </w:pPr>
            <w:r>
              <w:rPr>
                <w:rFonts w:ascii="Helvetica Neue" w:hAnsi="Helvetica Neue"/>
                <w:b/>
                <w:color w:val="FFFFFF"/>
                <w:sz w:val="16"/>
              </w:rPr>
              <w:t>Objeto del Servicio:</w:t>
            </w:r>
          </w:p>
        </w:tc>
        <w:tc>
          <w:tcPr>
            <w:tcW w:type="dxa" w:w="7839"/>
            <w:gridSpan w:val="3"/>
            <w:vAlign w:val="center"/>
          </w:tcPr>
          <w:p>
            <w:pPr>
              <w:spacing w:after="20"/>
            </w:pPr>
            <w:r>
              <w:rPr>
                <w:rFonts w:ascii="Helvetica Neue" w:hAnsi="Helvetica Neue"/>
                <w:sz w:val="16"/>
              </w:rPr>
              <w:t>Prestación de servicios profesionales para la sistematización, organización, análisis y estructuración de la información institucional de la Secretaría de Cultura, así como para el diseño conceptual y funcional de un Sistema de Información Cultural, que permita integrar, consultar, actualizar y dar seguimiento a información relacionada con programas, proyectos, acciones, beneficiarios, cobertura territorial, infraestructura, indicadores y resultados institucionales, con el propósito de fortalecer los procesos de planeación, seguimiento, evaluación y toma de decisiones.</w:t>
            </w:r>
          </w:p>
        </w:tc>
      </w:tr>
      <w:tr>
        <w:tc>
          <w:tcPr>
            <w:tcW w:type="dxa" w:w="2613"/>
            <w:vAlign w:val="center"/>
            <w:shd w:fill="004B87"/>
          </w:tcPr>
          <w:p>
            <w:pPr>
              <w:spacing w:after="20"/>
            </w:pPr>
            <w:r>
              <w:rPr>
                <w:rFonts w:ascii="Helvetica Neue" w:hAnsi="Helvetica Neue"/>
                <w:b/>
                <w:color w:val="FFFFFF"/>
                <w:sz w:val="16"/>
              </w:rPr>
              <w:t>Alcance del Entregable:</w:t>
            </w:r>
          </w:p>
        </w:tc>
        <w:tc>
          <w:tcPr>
            <w:tcW w:type="dxa" w:w="7839"/>
            <w:gridSpan w:val="3"/>
            <w:vAlign w:val="center"/>
          </w:tcPr>
          <w:p>
            <w:pPr>
              <w:spacing w:after="20"/>
            </w:pPr>
            <w:r>
              <w:rPr>
                <w:rFonts w:ascii="Helvetica Neue" w:hAnsi="Helvetica Neue"/>
                <w:sz w:val="16"/>
              </w:rPr>
              <w:t>Entregable 1: Diagnóstico de información institucional elaborado. Que identifique fuentes, bases de datos, registros, responsables, periodicidad, variables disponibles, duplicidades, vacíos de información y necesidades de sistematización.</w:t>
            </w:r>
          </w:p>
        </w:tc>
      </w:tr>
      <w:tr>
        <w:tc>
          <w:tcPr>
            <w:tcW w:type="dxa" w:w="2613"/>
            <w:vAlign w:val="center"/>
            <w:shd w:fill="004B87"/>
          </w:tcPr>
          <w:p>
            <w:pPr>
              <w:spacing w:after="20"/>
            </w:pPr>
            <w:r>
              <w:rPr>
                <w:rFonts w:ascii="Helvetica Neue" w:hAnsi="Helvetica Neue"/>
                <w:b/>
                <w:color w:val="FFFFFF"/>
                <w:sz w:val="16"/>
              </w:rPr>
              <w:t>Dependencia Destinataria:</w:t>
            </w:r>
          </w:p>
        </w:tc>
        <w:tc>
          <w:tcPr>
            <w:tcW w:type="dxa" w:w="2613"/>
            <w:vAlign w:val="center"/>
          </w:tcPr>
          <w:p>
            <w:pPr>
              <w:spacing w:after="20"/>
            </w:pPr>
            <w:r>
              <w:rPr>
                <w:rFonts w:ascii="Helvetica Neue" w:hAnsi="Helvetica Neue"/>
                <w:sz w:val="16"/>
              </w:rPr>
              <w:t>Secretaría de Cultura del Estado de Guanajuato — Dirección de Planeación</w:t>
            </w:r>
          </w:p>
        </w:tc>
        <w:tc>
          <w:tcPr>
            <w:tcW w:type="dxa" w:w="2613"/>
            <w:vAlign w:val="center"/>
            <w:shd w:fill="004B87"/>
          </w:tcPr>
          <w:p>
            <w:pPr>
              <w:spacing w:after="20"/>
            </w:pPr>
            <w:r>
              <w:rPr>
                <w:rFonts w:ascii="Helvetica Neue" w:hAnsi="Helvetica Neue"/>
                <w:b/>
                <w:color w:val="FFFFFF"/>
                <w:sz w:val="16"/>
              </w:rPr>
              <w:t>Titular / Área Validadora:</w:t>
            </w:r>
          </w:p>
        </w:tc>
        <w:tc>
          <w:tcPr>
            <w:tcW w:type="dxa" w:w="2613"/>
            <w:vAlign w:val="center"/>
          </w:tcPr>
          <w:p>
            <w:pPr>
              <w:spacing w:after="20"/>
            </w:pPr>
            <w:r>
              <w:rPr>
                <w:rFonts w:ascii="Helvetica Neue" w:hAnsi="Helvetica Neue"/>
                <w:sz w:val="16"/>
              </w:rPr>
              <w:t>Lic. Marcela ChagoyaDirectora de Planeación</w:t>
            </w:r>
          </w:p>
        </w:tc>
      </w:tr>
      <w:tr>
        <w:tc>
          <w:tcPr>
            <w:tcW w:type="dxa" w:w="2613"/>
            <w:vAlign w:val="center"/>
            <w:shd w:fill="004B87"/>
          </w:tcPr>
          <w:p>
            <w:pPr>
              <w:spacing w:after="20"/>
            </w:pPr>
            <w:r>
              <w:rPr>
                <w:rFonts w:ascii="Helvetica Neue" w:hAnsi="Helvetica Neue"/>
                <w:b/>
                <w:color w:val="FFFFFF"/>
                <w:sz w:val="16"/>
              </w:rPr>
              <w:t>Prestador de Servicios:</w:t>
            </w:r>
          </w:p>
        </w:tc>
        <w:tc>
          <w:tcPr>
            <w:tcW w:type="dxa" w:w="2613"/>
            <w:vAlign w:val="center"/>
          </w:tcPr>
          <w:p>
            <w:pPr>
              <w:spacing w:after="20"/>
            </w:pPr>
            <w:r>
              <w:rPr>
                <w:rFonts w:ascii="Helvetica Neue" w:hAnsi="Helvetica Neue"/>
                <w:sz w:val="16"/>
              </w:rPr>
              <w:t>Luis Angel Durán AlvarezPersona Física | Consultoría PULSO Q</w:t>
            </w:r>
          </w:p>
        </w:tc>
        <w:tc>
          <w:tcPr>
            <w:tcW w:type="dxa" w:w="2613"/>
            <w:vAlign w:val="center"/>
            <w:shd w:fill="004B87"/>
          </w:tcPr>
          <w:p>
            <w:pPr>
              <w:spacing w:after="20"/>
            </w:pPr>
            <w:r>
              <w:rPr>
                <w:rFonts w:ascii="Helvetica Neue" w:hAnsi="Helvetica Neue"/>
                <w:b/>
                <w:color w:val="FFFFFF"/>
                <w:sz w:val="16"/>
              </w:rPr>
              <w:t>Datos Fiscales y Padrón GTO:</w:t>
            </w:r>
          </w:p>
        </w:tc>
        <w:tc>
          <w:tcPr>
            <w:tcW w:type="dxa" w:w="2613"/>
            <w:vAlign w:val="center"/>
          </w:tcPr>
          <w:p>
            <w:pPr>
              <w:spacing w:after="20"/>
            </w:pPr>
            <w:r>
              <w:rPr>
                <w:rFonts w:ascii="Helvetica Neue" w:hAnsi="Helvetica Neue"/>
                <w:sz w:val="16"/>
              </w:rPr>
              <w:t>RFC: DUAL921018QI3No. Proveedor (Finanzas GTO): 504898 (Estatus R-2026)</w:t>
            </w:r>
          </w:p>
        </w:tc>
      </w:tr>
      <w:tr>
        <w:tc>
          <w:tcPr>
            <w:tcW w:type="dxa" w:w="2613"/>
            <w:vAlign w:val="center"/>
            <w:shd w:fill="004B87"/>
          </w:tcPr>
          <w:p>
            <w:pPr>
              <w:spacing w:after="20"/>
            </w:pPr>
            <w:r>
              <w:rPr>
                <w:rFonts w:ascii="Helvetica Neue" w:hAnsi="Helvetica Neue"/>
                <w:b/>
                <w:color w:val="FFFFFF"/>
                <w:sz w:val="16"/>
              </w:rPr>
              <w:t>Base Auditada:</w:t>
            </w:r>
          </w:p>
        </w:tc>
        <w:tc>
          <w:tcPr>
            <w:tcW w:type="dxa" w:w="2613"/>
            <w:vAlign w:val="center"/>
          </w:tcPr>
          <w:p>
            <w:pPr>
              <w:spacing w:after="20"/>
            </w:pPr>
            <w:r>
              <w:rPr>
                <w:rFonts w:ascii="Helvetica Neue" w:hAnsi="Helvetica Neue"/>
                <w:sz w:val="16"/>
              </w:rPr>
              <w:t>DB_Sistema_Cultura_GTO_V1 (99 Metas • 34 Procesos)</w:t>
            </w:r>
          </w:p>
        </w:tc>
        <w:tc>
          <w:tcPr>
            <w:tcW w:type="dxa" w:w="2613"/>
            <w:vAlign w:val="center"/>
            <w:shd w:fill="004B87"/>
          </w:tcPr>
          <w:p>
            <w:pPr>
              <w:spacing w:after="20"/>
            </w:pPr>
            <w:r>
              <w:rPr>
                <w:rFonts w:ascii="Helvetica Neue" w:hAnsi="Helvetica Neue"/>
                <w:b/>
                <w:color w:val="FFFFFF"/>
                <w:sz w:val="16"/>
              </w:rPr>
              <w:t>Fecha de Emisión:</w:t>
            </w:r>
          </w:p>
        </w:tc>
        <w:tc>
          <w:tcPr>
            <w:tcW w:type="dxa" w:w="2613"/>
            <w:vAlign w:val="center"/>
          </w:tcPr>
          <w:p>
            <w:pPr>
              <w:spacing w:after="20"/>
            </w:pPr>
            <w:r>
              <w:rPr>
                <w:rFonts w:ascii="Helvetica Neue" w:hAnsi="Helvetica Neue"/>
                <w:sz w:val="16"/>
              </w:rPr>
              <w:t>Guanajuato, Gto., a 19 de octubre de 2026</w:t>
            </w:r>
          </w:p>
        </w:tc>
      </w:tr>
    </w:tbl>
    <w:p>
      <w:pPr>
        <w:spacing w:after="20"/>
      </w:pPr>
    </w:p>
    <w:p>
      <w:r>
        <w:br w:type="page"/>
      </w:r>
    </w:p>
    <w:p>
      <w:pPr>
        <w:pStyle w:val="Heading1"/>
      </w:pPr>
      <w:r>
        <w:rPr>
          <w:b w:val="0"/>
          <w:i w:val="0"/>
        </w:rPr>
        <w:t>Diagnóstico general</w:t>
      </w:r>
    </w:p>
    <w:p>
      <w:pPr>
        <w:pStyle w:val="Heading1"/>
      </w:pPr>
      <w:r>
        <w:rPr>
          <w:b w:val="0"/>
          <w:i w:val="0"/>
        </w:rPr>
        <w:t>1. Diagnóstico del estado de los datos</w:t>
      </w:r>
    </w:p>
    <w:p>
      <w:r>
        <w:rPr>
          <w:b w:val="0"/>
          <w:i w:val="0"/>
        </w:rPr>
        <w:br/>
        <w:br/>
        <w:t xml:space="preserve">      El análisis de la matriz de información institucional confirma que la Secretaría de Cultura posee una amplia capacidad operativa y de generación de datos en territorio. Sin embargo, previo a la sistematización instrumentada con la Dirección de Planeación, este activo estratégico se encontraba atomizado y desestructurado. Para consolidar la operación del Tablero de Control y dar seguimiento riguroso a las </w:t>
      </w:r>
      <w:r>
        <w:rPr>
          <w:b/>
          <w:i w:val="0"/>
        </w:rPr>
        <w:t>99 metas anuales</w:t>
      </w:r>
      <w:r>
        <w:rPr>
          <w:b w:val="0"/>
          <w:i w:val="0"/>
        </w:rPr>
        <w:t xml:space="preserve"> y los </w:t>
      </w:r>
      <w:r>
        <w:rPr>
          <w:b/>
          <w:i w:val="0"/>
        </w:rPr>
        <w:t>34 procesos presupuestales</w:t>
      </w:r>
      <w:r>
        <w:rPr>
          <w:b w:val="0"/>
          <w:i w:val="0"/>
        </w:rPr>
        <w:t xml:space="preserve">, resulta imperativo transitar de un modelo de </w:t>
      </w:r>
      <w:r>
        <w:rPr>
          <w:b w:val="0"/>
          <w:i/>
        </w:rPr>
        <w:t>"Información Estática"</w:t>
      </w:r>
      <w:r>
        <w:rPr>
          <w:b w:val="0"/>
          <w:i w:val="0"/>
        </w:rPr>
        <w:t xml:space="preserve"> (almacenada en documentos aislados) a un ecosistema de </w:t>
      </w:r>
      <w:r>
        <w:rPr>
          <w:b w:val="0"/>
          <w:i/>
        </w:rPr>
        <w:t>"Datos Estructurados Transaccionales"</w:t>
      </w:r>
      <w:r>
        <w:rPr>
          <w:b w:val="0"/>
          <w:i w:val="0"/>
        </w:rPr>
        <w:t>.</w:t>
        <w:br/>
        <w:br/>
        <w:t xml:space="preserve">    </w:t>
      </w:r>
    </w:p>
    <w:p>
      <w:pPr>
        <w:pStyle w:val="Heading2"/>
      </w:pPr>
      <w:r>
        <w:rPr>
          <w:b w:val="0"/>
          <w:i w:val="0"/>
        </w:rPr>
        <w:t>Tres nudos críticos transversales</w:t>
      </w:r>
    </w:p>
    <w:p>
      <w:pPr>
        <w:pStyle w:val="ListBullet"/>
        <w:ind w:left="0"/>
      </w:pPr>
      <w:r>
        <w:rPr>
          <w:sz w:val="18"/>
        </w:rPr>
        <w:br/>
        <w:br/>
        <w:t xml:space="preserve">        </w:t>
      </w:r>
      <w:r>
        <w:rPr>
          <w:b/>
          <w:i w:val="0"/>
        </w:rPr>
        <w:t>1. Incompatibilidad de formatos (datos estáticos no procesables):</w:t>
      </w:r>
      <w:r>
        <w:t xml:space="preserve"> Un alto porcentaje de las fuentes primarias históricas se reportaba en procesadores de texto (Word </w:t>
      </w:r>
      <w:r>
        <w:rPr>
          <w:rFonts w:ascii="Consolas" w:hAnsi="Consolas"/>
          <w:b w:val="0"/>
          <w:i w:val="0"/>
          <w:sz w:val="16"/>
        </w:rPr>
        <w:t>.docx</w:t>
      </w:r>
      <w:r>
        <w:t xml:space="preserve">), presentaciones visuales de cartelera (PowerPoint </w:t>
      </w:r>
      <w:r>
        <w:rPr>
          <w:rFonts w:ascii="Consolas" w:hAnsi="Consolas"/>
          <w:b w:val="0"/>
          <w:i w:val="0"/>
          <w:sz w:val="16"/>
        </w:rPr>
        <w:t>.pptx</w:t>
      </w:r>
      <w:r>
        <w:t>) o imágenes digitalizadas (</w:t>
      </w:r>
      <w:r>
        <w:rPr>
          <w:rFonts w:ascii="Consolas" w:hAnsi="Consolas"/>
          <w:b w:val="0"/>
          <w:i w:val="0"/>
          <w:sz w:val="16"/>
        </w:rPr>
        <w:t>.pdf</w:t>
      </w:r>
      <w:r>
        <w:t xml:space="preserve"> escaneado con firmas y sellos).</w:t>
        <w:br/>
        <w:br/>
        <w:t xml:space="preserve">        </w:t>
      </w:r>
      <w:r>
        <w:br/>
        <w:br/>
        <w:t xml:space="preserve">      </w:t>
      </w:r>
    </w:p>
    <w:p>
      <w:pPr>
        <w:pStyle w:val="ListBullet"/>
        <w:ind w:left="317"/>
      </w:pPr>
      <w:r>
        <w:rPr>
          <w:b/>
          <w:i w:val="0"/>
        </w:rPr>
        <w:t>Impacto técnico:</w:t>
      </w:r>
      <w:r>
        <w:t xml:space="preserve"> Los motores de inteligencia de datos no pueden realizar lecturas matemáticas automatizadas sobre descripciones narrativas en prosa ni extraer sumatorias financieras desde fotografías o PDFs escaneados, impidiendo la ingesta directa hacia el sistema.</w:t>
      </w:r>
    </w:p>
    <w:p>
      <w:pPr>
        <w:pStyle w:val="ListBullet"/>
        <w:ind w:left="0"/>
      </w:pPr>
      <w:r>
        <w:rPr>
          <w:sz w:val="18"/>
        </w:rPr>
        <w:br/>
        <w:br/>
        <w:t xml:space="preserve">        </w:t>
      </w:r>
      <w:r>
        <w:rPr>
          <w:b/>
          <w:i w:val="0"/>
        </w:rPr>
        <w:t>2. Vulnerabilidad en los procesos de consolidación manual:</w:t>
      </w:r>
      <w:r>
        <w:t xml:space="preserve"> Se identificó una dependencia sistemática de la captura y transcripción manual (copiado y pegado de hasta 46 archivos Excel municipales y múltiples hojas por recinto) para alimentar matrices concentradoras.</w:t>
        <w:br/>
        <w:br/>
        <w:t xml:space="preserve">        </w:t>
      </w:r>
      <w:r>
        <w:br/>
        <w:br/>
        <w:t xml:space="preserve">      </w:t>
      </w:r>
    </w:p>
    <w:p>
      <w:pPr>
        <w:pStyle w:val="ListBullet"/>
        <w:ind w:left="317"/>
      </w:pPr>
      <w:r>
        <w:rPr>
          <w:b/>
          <w:i w:val="0"/>
        </w:rPr>
        <w:t>Impacto técnico:</w:t>
      </w:r>
      <w:r>
        <w:t xml:space="preserve"> La transcripción humana eleva exponencialmente el riesgo de error (alteración accidental de fórmulas </w:t>
      </w:r>
      <w:r>
        <w:rPr>
          <w:rFonts w:ascii="Consolas" w:hAnsi="Consolas"/>
          <w:b w:val="0"/>
          <w:i w:val="0"/>
          <w:sz w:val="16"/>
        </w:rPr>
        <w:t>#REF!</w:t>
      </w:r>
      <w:r>
        <w:t xml:space="preserve"> / </w:t>
      </w:r>
      <w:r>
        <w:rPr>
          <w:rFonts w:ascii="Consolas" w:hAnsi="Consolas"/>
          <w:b w:val="0"/>
          <w:i w:val="0"/>
          <w:sz w:val="16"/>
        </w:rPr>
        <w:t>#DIV/0!</w:t>
      </w:r>
      <w:r>
        <w:t>, variaciones ortográficas en nombres de municipios y recintos), introduce rezagos de semanas en la actualización del tablero y dificulta la detección de registros duplicados.</w:t>
      </w:r>
    </w:p>
    <w:p>
      <w:pPr>
        <w:pStyle w:val="ListBullet"/>
        <w:ind w:left="0"/>
      </w:pPr>
      <w:r>
        <w:rPr>
          <w:sz w:val="18"/>
        </w:rPr>
        <w:br/>
        <w:br/>
        <w:t xml:space="preserve">        </w:t>
      </w:r>
      <w:r>
        <w:rPr>
          <w:b/>
          <w:i w:val="0"/>
        </w:rPr>
        <w:t>3. Brecha física de conectividad e infraestructura en sitio:</w:t>
      </w:r>
      <w:r>
        <w:t xml:space="preserve"> Existen limitaciones operativas severas en puntos de captura en campo, específicamente en los Centros de Atención a Visitantes (CAV) y zonas arqueológicas de la Dirección General de Patrimonio Cultural (carencia de internet y suministro eléctrico), así como déficit de equipos de cómputo en sedes de Formación e Investigación.</w:t>
        <w:br/>
        <w:br/>
        <w:t xml:space="preserve">        </w:t>
      </w:r>
      <w:r>
        <w:br/>
        <w:br/>
        <w:t xml:space="preserve">      </w:t>
      </w:r>
    </w:p>
    <w:p>
      <w:pPr>
        <w:pStyle w:val="ListBullet"/>
        <w:ind w:left="317"/>
      </w:pPr>
      <w:r>
        <w:rPr>
          <w:b/>
          <w:i w:val="0"/>
        </w:rPr>
        <w:t>Impacto técnico:</w:t>
      </w:r>
      <w:r>
        <w:t xml:space="preserve"> Obliga a mantener flujos primarios en papel y lápiz que requieren protocolos formales de captura diferida homologada (</w:t>
      </w:r>
      <w:r>
        <w:rPr>
          <w:b w:val="0"/>
          <w:i/>
        </w:rPr>
        <w:t>Offline</w:t>
      </w:r>
      <w:r>
        <w:t>) para evitar que el dato se pierda o se distorsione al transcribirse en oficinas centrales.</w:t>
      </w:r>
    </w:p>
    <w:p>
      <w:pPr>
        <w:pStyle w:val="Heading1"/>
      </w:pPr>
      <w:r>
        <w:rPr>
          <w:b w:val="0"/>
          <w:i w:val="0"/>
        </w:rPr>
        <w:t>2. Análisis de viabilidad por indicador</w:t>
      </w:r>
    </w:p>
    <w:p>
      <w:pPr>
        <w:pStyle w:val="ListBullet"/>
        <w:ind w:left="0"/>
      </w:pPr>
      <w:r>
        <w:rPr>
          <w:sz w:val="18"/>
        </w:rPr>
        <w:br/>
        <w:br/>
        <w:t xml:space="preserve">        </w:t>
      </w:r>
      <w:r>
        <w:rPr>
          <w:b/>
          <w:i w:val="0"/>
        </w:rPr>
        <w:t>Indicador de mayor viabilidad e implementación inmediata — Indicador 11 (Tasa de variación de oferta cultural realizada en los municipios):</w:t>
      </w:r>
      <w:r>
        <w:t xml:space="preserve"> Cuenta con la mayor cobertura transversal al ser alimentado por múltiples direcciones (Desarrollo Cultural Municipal, Museos, Forum Cultural, Producción Artística). Mediante su vinculación con el catálogo de los </w:t>
      </w:r>
      <w:r>
        <w:rPr>
          <w:b/>
          <w:i w:val="0"/>
        </w:rPr>
        <w:t>46 municipios (</w:t>
      </w:r>
      <w:r>
        <w:rPr>
          <w:rFonts w:ascii="Consolas" w:hAnsi="Consolas"/>
          <w:b/>
          <w:i w:val="0"/>
          <w:sz w:val="16"/>
        </w:rPr>
        <w:t>GTO_COORDS</w:t>
      </w:r>
      <w:r>
        <w:rPr>
          <w:b/>
          <w:i w:val="0"/>
        </w:rPr>
        <w:t>)</w:t>
      </w:r>
      <w:r>
        <w:t xml:space="preserve"> y las </w:t>
      </w:r>
      <w:r>
        <w:rPr>
          <w:b/>
          <w:i w:val="0"/>
        </w:rPr>
        <w:t xml:space="preserve">99 metas de </w:t>
      </w:r>
      <w:r>
        <w:rPr>
          <w:rFonts w:ascii="Consolas" w:hAnsi="Consolas"/>
          <w:b/>
          <w:i w:val="0"/>
          <w:sz w:val="16"/>
        </w:rPr>
        <w:t>Cat_Alineacion</w:t>
      </w:r>
      <w:r>
        <w:t>, se consulta actualmente en los Módulos 1, 2 y 3 del Tablero Directivo.</w:t>
        <w:br/>
        <w:br/>
        <w:t xml:space="preserve">      </w:t>
      </w:r>
    </w:p>
    <w:p>
      <w:pPr>
        <w:pStyle w:val="ListBullet"/>
        <w:ind w:left="0"/>
      </w:pPr>
      <w:r>
        <w:rPr>
          <w:sz w:val="18"/>
        </w:rPr>
        <w:br/>
        <w:br/>
        <w:t xml:space="preserve">        </w:t>
      </w:r>
      <w:r>
        <w:rPr>
          <w:b/>
          <w:i w:val="0"/>
        </w:rPr>
        <w:t>Indicadores de alta complejidad demográfica — Indicadores 1 y 13 (Grupos Prioritarios, Polígonos ZAP y Jóvenes):</w:t>
      </w:r>
      <w:r>
        <w:t xml:space="preserve"> Exigen alta precisión en la desagregación por sexo, edad, comunidad ZAP y distinción entre </w:t>
      </w:r>
      <w:r>
        <w:rPr>
          <w:b w:val="0"/>
          <w:i/>
        </w:rPr>
        <w:t>asistencias recurrentes</w:t>
      </w:r>
      <w:r>
        <w:t xml:space="preserve"> y </w:t>
      </w:r>
      <w:r>
        <w:rPr>
          <w:b w:val="0"/>
          <w:i/>
        </w:rPr>
        <w:t>personas únicas beneficiadas</w:t>
      </w:r>
      <w:r>
        <w:t xml:space="preserve">. Se resuelven mediante la separación estructural entre </w:t>
      </w:r>
      <w:r>
        <w:rPr>
          <w:rFonts w:ascii="Consolas" w:hAnsi="Consolas"/>
          <w:b w:val="0"/>
          <w:i w:val="0"/>
          <w:sz w:val="16"/>
        </w:rPr>
        <w:t>Total_Sesiones</w:t>
      </w:r>
      <w:r>
        <w:t xml:space="preserve"> y padrón de participantes (</w:t>
      </w:r>
      <w:r>
        <w:rPr>
          <w:rFonts w:ascii="Consolas" w:hAnsi="Consolas"/>
          <w:b w:val="0"/>
          <w:i w:val="0"/>
          <w:sz w:val="16"/>
        </w:rPr>
        <w:t>Cantidad_Participacion</w:t>
      </w:r>
      <w:r>
        <w:t xml:space="preserve">), el catálogo depurado </w:t>
      </w:r>
      <w:r>
        <w:rPr>
          <w:rFonts w:ascii="Consolas" w:hAnsi="Consolas"/>
          <w:b w:val="0"/>
          <w:i w:val="0"/>
          <w:sz w:val="16"/>
        </w:rPr>
        <w:t>Cat_Comunidades_Limpio</w:t>
      </w:r>
      <w:r>
        <w:t xml:space="preserve"> (239 localidades con marcaje ZAP) y la categoría controlada </w:t>
      </w:r>
      <w:r>
        <w:rPr>
          <w:rFonts w:ascii="Consolas" w:hAnsi="Consolas"/>
          <w:b w:val="0"/>
          <w:i w:val="0"/>
          <w:sz w:val="16"/>
        </w:rPr>
        <w:t>"Dato global"</w:t>
      </w:r>
      <w:r>
        <w:t xml:space="preserve"> cuando en taquilla física sólo sea viable el conteo general.</w:t>
        <w:br/>
        <w:br/>
        <w:t xml:space="preserve">      </w:t>
      </w:r>
    </w:p>
    <w:p>
      <w:pPr>
        <w:pStyle w:val="ListBullet"/>
        <w:ind w:left="0"/>
      </w:pPr>
      <w:r>
        <w:rPr>
          <w:sz w:val="18"/>
        </w:rPr>
        <w:br/>
        <w:br/>
        <w:t xml:space="preserve">        </w:t>
      </w:r>
      <w:r>
        <w:rPr>
          <w:b/>
          <w:i w:val="0"/>
        </w:rPr>
        <w:t>Indicadores con riesgo de estructura cualitativa — Indicadores 8 y 9 (Nuevas producciones y Circulación de proyectos fuera del territorio estatal):</w:t>
      </w:r>
      <w:r>
        <w:t xml:space="preserve"> Su información residía en fichas informativas de Word, diapositivas PowerPoint o catálogos editoriales en PDF. Se estandarizan al asignar un folio relacional único (</w:t>
      </w:r>
      <w:r>
        <w:rPr>
          <w:rFonts w:ascii="Consolas" w:hAnsi="Consolas"/>
          <w:b w:val="0"/>
          <w:i w:val="0"/>
          <w:sz w:val="16"/>
        </w:rPr>
        <w:t>ID_Actividad</w:t>
      </w:r>
      <w:r>
        <w:t xml:space="preserve">) a cada nueva producción y al habilitar el registro de sedes foráneas nacionales (ej. </w:t>
      </w:r>
      <w:r>
        <w:rPr>
          <w:b w:val="0"/>
          <w:i/>
        </w:rPr>
        <w:t>Ciudad de México</w:t>
      </w:r>
      <w:r>
        <w:t xml:space="preserve">) separadas estadísticamente de los 46 municipios mediante la función </w:t>
      </w:r>
      <w:r>
        <w:rPr>
          <w:rFonts w:ascii="Consolas" w:hAnsi="Consolas"/>
          <w:b w:val="0"/>
          <w:i w:val="0"/>
          <w:sz w:val="16"/>
        </w:rPr>
        <w:t>isMunicipioGTO()</w:t>
      </w:r>
      <w:r>
        <w:t>.</w:t>
        <w:br/>
        <w:br/>
        <w:t xml:space="preserve">      </w:t>
      </w:r>
    </w:p>
    <w:p>
      <w:pPr>
        <w:pStyle w:val="Heading1"/>
      </w:pPr>
      <w:r>
        <w:rPr>
          <w:b w:val="0"/>
          <w:i w:val="0"/>
        </w:rPr>
        <w:t>3. Identificación de barreras estructurales</w:t>
      </w:r>
    </w:p>
    <w:p>
      <w:r>
        <w:rPr>
          <w:b w:val="0"/>
          <w:i w:val="0"/>
        </w:rPr>
        <w:t>El diagnóstico identifica cuatro barreras que condicionan la automatización y la confiabilidad de los reportes institucionales:</w:t>
      </w:r>
    </w:p>
    <w:p>
      <w:pPr>
        <w:pStyle w:val="ListNumber"/>
        <w:ind w:left="0"/>
      </w:pPr>
      <w:r>
        <w:rPr>
          <w:b/>
          <w:i w:val="0"/>
        </w:rPr>
        <w:t>Normalización de datos.</w:t>
      </w:r>
      <w:r>
        <w:t xml:space="preserve"> Las variaciones en nombres de municipios, recintos, programas, disciplinas y procesos impiden agrupar la información de manera estable. La captura debe operar con catálogos institucionales controlados.</w:t>
      </w:r>
    </w:p>
    <w:p>
      <w:pPr>
        <w:pStyle w:val="ListNumber"/>
        <w:ind w:left="0"/>
      </w:pPr>
      <w:r>
        <w:rPr>
          <w:b/>
          <w:i w:val="0"/>
        </w:rPr>
        <w:t>Infraestructura tecnológica limitada.</w:t>
      </w:r>
      <w:r>
        <w:t xml:space="preserve"> Las zonas arqueológicas, los Centros de Atención a Visitantes y algunas sedes formativas requieren captura desconectada y sincronización posterior.</w:t>
      </w:r>
    </w:p>
    <w:p>
      <w:pPr>
        <w:pStyle w:val="ListNumber"/>
        <w:ind w:left="0"/>
      </w:pPr>
      <w:r>
        <w:rPr>
          <w:b/>
          <w:i w:val="0"/>
        </w:rPr>
        <w:t>Gobernanza y responsabilidad del dato.</w:t>
      </w:r>
      <w:r>
        <w:t xml:space="preserve"> La edición simultánea de hojas, las fórmulas modificables y la ausencia de responsables explícitos reducen la trazabilidad. Cada fuente necesita propietario, enlace de captura, calendario y regla de cierre.</w:t>
      </w:r>
    </w:p>
    <w:p>
      <w:pPr>
        <w:pStyle w:val="ListNumber"/>
        <w:ind w:left="0"/>
      </w:pPr>
      <w:r>
        <w:rPr>
          <w:b/>
          <w:i w:val="0"/>
        </w:rPr>
        <w:t>Cultura del dato y capacitación.</w:t>
      </w:r>
      <w:r>
        <w:t xml:space="preserve"> Parte del reporte se produce como narrativa administrativa. Para alimentar indicadores, las cifras deben originarse en campos estructurados, con reglas de validación y distinción entre sesiones, asistencias y personas únicas.</w:t>
      </w:r>
    </w:p>
    <w:p>
      <w:pPr>
        <w:pStyle w:val="Heading1"/>
      </w:pPr>
      <w:r>
        <w:rPr>
          <w:b w:val="0"/>
          <w:i w:val="0"/>
        </w:rPr>
        <w:t>Diagnóstico por área</w:t>
      </w:r>
    </w:p>
    <w:p>
      <w:r>
        <w:rPr>
          <w:b w:val="0"/>
          <w:i w:val="0"/>
        </w:rPr>
        <w:t>Cada apartado conserva la secuencia de análisis utilizada en el diagnóstico institucional: función del área, estado actual, barrera, impacto técnico y recomendaciones de sistematización.</w:t>
      </w:r>
    </w:p>
    <w:p>
      <w:r>
        <w:br w:type="page"/>
      </w:r>
    </w:p>
    <w:p>
      <w:pPr>
        <w:pStyle w:val="Heading1"/>
      </w:pPr>
      <w:r>
        <w:rPr>
          <w:b w:val="0"/>
          <w:i w:val="0"/>
        </w:rPr>
        <w:t>Coordinación de Desarrollo Cultural Municipal (Articulación con los 46 Municipios)</w:t>
      </w:r>
    </w:p>
    <w:p>
      <w:r>
        <w:rPr>
          <w:b w:val="0"/>
          <w:i w:val="0"/>
        </w:rPr>
        <w:br/>
        <w:br/>
        <w:t xml:space="preserve">        La Coordinación de Desarrollo Cultural Municipal funge como el nodo principal de articulación territorial de la Secretaría, concentrando la información operativa y financiera de las Casas de la Cultura y Organismos Culturales en los 46 municipios. Es fuente primaria para los </w:t>
      </w:r>
      <w:r>
        <w:rPr>
          <w:b/>
          <w:i w:val="0"/>
        </w:rPr>
        <w:t>Indicadores 1 (Grupos prioritarios), 2 (Formación), 6 (Participación de mujeres) y 11 (Oferta cultural municipal)</w:t>
      </w:r>
      <w:r>
        <w:rPr>
          <w:b w:val="0"/>
          <w:i w:val="0"/>
        </w:rPr>
        <w:t xml:space="preserve">. Presenta una </w:t>
      </w:r>
      <w:r>
        <w:rPr>
          <w:b/>
          <w:i w:val="0"/>
        </w:rPr>
        <w:t>Madurez Digital Intermedia</w:t>
      </w:r>
      <w:r>
        <w:rPr>
          <w:b w:val="0"/>
          <w:i w:val="0"/>
        </w:rPr>
        <w:t>: aunque adoptó hojas de cálculo en Google Drive, su operatividad previa dependía de consolidaciones manuales y comprobaciones financieras escaneadas.</w:t>
        <w:br/>
        <w:br/>
        <w:t xml:space="preserve">      </w:t>
      </w:r>
    </w:p>
    <w:p>
      <w:pPr>
        <w:pStyle w:val="ListBullet"/>
        <w:ind w:left="0"/>
      </w:pPr>
      <w:r>
        <w:rPr>
          <w:sz w:val="18"/>
        </w:rPr>
        <w:br/>
        <w:br/>
        <w:t xml:space="preserve">          </w:t>
      </w:r>
      <w:r>
        <w:rPr>
          <w:b/>
          <w:i w:val="0"/>
        </w:rPr>
        <w:t>A. Gestión de la oferta cultural y talleres (Indicadores 2 y 11):</w:t>
      </w:r>
      <w:r>
        <w:br/>
        <w:br/>
        <w:t xml:space="preserve">          </w:t>
      </w:r>
      <w:r>
        <w:br/>
        <w:br/>
        <w:t xml:space="preserve">        </w:t>
      </w:r>
    </w:p>
    <w:p>
      <w:pPr>
        <w:pStyle w:val="ListBullet"/>
        <w:ind w:left="317"/>
      </w:pPr>
      <w:r>
        <w:rPr>
          <w:b/>
          <w:i w:val="0"/>
        </w:rPr>
        <w:t>Estado actual:</w:t>
      </w:r>
      <w:r>
        <w:t xml:space="preserve"> La información se recibe en hojas de cálculo individuales por municipio en Google Drive.</w:t>
      </w:r>
    </w:p>
    <w:p>
      <w:pPr>
        <w:pStyle w:val="ListBullet"/>
        <w:ind w:left="317"/>
      </w:pPr>
      <w:r>
        <w:rPr>
          <w:b/>
          <w:i w:val="0"/>
        </w:rPr>
        <w:t>La barrera crítica:</w:t>
      </w:r>
      <w:r>
        <w:t xml:space="preserve"> Cuello de botella operativo; la matriz reporta que </w:t>
      </w:r>
      <w:r>
        <w:rPr>
          <w:b w:val="0"/>
          <w:i/>
        </w:rPr>
        <w:t>"la captura se realiza manualmente y se pasa a una matriz de concentrado general"</w:t>
      </w:r>
      <w:r>
        <w:t xml:space="preserve"> a partir de hasta 46 archivos independientes.</w:t>
      </w:r>
    </w:p>
    <w:p>
      <w:pPr>
        <w:pStyle w:val="ListBullet"/>
        <w:ind w:left="317"/>
      </w:pPr>
      <w:r>
        <w:rPr>
          <w:b/>
          <w:i w:val="0"/>
        </w:rPr>
        <w:t>Impacto técnico:</w:t>
      </w:r>
      <w:r>
        <w:t xml:space="preserve"> Copiar y pegar datos desde 46 fuentes distintas introduce errores humanos de transcripción, variaciones en la nomenclatura de municipios/localidades y retrasos en la actualización del tablero.</w:t>
      </w:r>
    </w:p>
    <w:p>
      <w:pPr>
        <w:pStyle w:val="ListBullet"/>
        <w:ind w:left="0"/>
      </w:pPr>
      <w:r>
        <w:rPr>
          <w:sz w:val="18"/>
        </w:rPr>
        <w:br/>
        <w:br/>
        <w:t xml:space="preserve">          </w:t>
      </w:r>
      <w:r>
        <w:rPr>
          <w:b/>
          <w:i w:val="0"/>
        </w:rPr>
        <w:t>B. Gestión financiera y comprobación de subsidios (Indicador 6):</w:t>
      </w:r>
      <w:r>
        <w:br/>
        <w:br/>
        <w:t xml:space="preserve">          </w:t>
      </w:r>
      <w:r>
        <w:br/>
        <w:br/>
        <w:t xml:space="preserve">        </w:t>
      </w:r>
    </w:p>
    <w:p>
      <w:pPr>
        <w:pStyle w:val="ListBullet"/>
        <w:ind w:left="317"/>
      </w:pPr>
      <w:r>
        <w:rPr>
          <w:b/>
          <w:i w:val="0"/>
        </w:rPr>
        <w:t>Estado actual:</w:t>
      </w:r>
      <w:r>
        <w:t xml:space="preserve"> El reporte del ejercicio del subsidio municipal se entrega mediante el escaneo de documentos finales con firmas y sellos en PDF.</w:t>
      </w:r>
    </w:p>
    <w:p>
      <w:pPr>
        <w:pStyle w:val="ListBullet"/>
        <w:ind w:left="317"/>
      </w:pPr>
      <w:r>
        <w:rPr>
          <w:b/>
          <w:i w:val="0"/>
        </w:rPr>
        <w:t>La barrera crítica:</w:t>
      </w:r>
      <w:r>
        <w:t xml:space="preserve"> Insumos calificados como </w:t>
      </w:r>
      <w:r>
        <w:rPr>
          <w:b w:val="0"/>
          <w:i/>
        </w:rPr>
        <w:t>"Documentos ilegibles"</w:t>
      </w:r>
      <w:r>
        <w:t xml:space="preserve"> para procesamiento automatizado (información estática en imagen).</w:t>
      </w:r>
    </w:p>
    <w:p>
      <w:pPr>
        <w:pStyle w:val="ListBullet"/>
        <w:ind w:left="317"/>
      </w:pPr>
      <w:r>
        <w:rPr>
          <w:b/>
          <w:i w:val="0"/>
        </w:rPr>
        <w:t>Impacto técnico:</w:t>
      </w:r>
      <w:r>
        <w:t xml:space="preserve"> Imposibilidad de correlacionar automáticamente el monto de inversión ejercido con el impacto social en mujeres y grupos prioritarios sin transcripción previa.</w:t>
      </w:r>
    </w:p>
    <w:p>
      <w:pPr>
        <w:pStyle w:val="ListBullet"/>
        <w:ind w:left="0"/>
      </w:pPr>
      <w:r>
        <w:rPr>
          <w:sz w:val="18"/>
        </w:rPr>
        <w:br/>
        <w:br/>
        <w:t xml:space="preserve">          </w:t>
      </w:r>
      <w:r>
        <w:rPr>
          <w:b/>
          <w:i w:val="0"/>
        </w:rPr>
        <w:t>C. Integridad de los padrones de beneficiarios (Indicador 1):</w:t>
      </w:r>
      <w:r>
        <w:br/>
        <w:br/>
        <w:t xml:space="preserve">          </w:t>
      </w:r>
      <w:r>
        <w:br/>
        <w:br/>
        <w:t xml:space="preserve">        </w:t>
      </w:r>
    </w:p>
    <w:p>
      <w:pPr>
        <w:pStyle w:val="ListBullet"/>
        <w:ind w:left="317"/>
      </w:pPr>
      <w:r>
        <w:rPr>
          <w:b/>
          <w:i w:val="0"/>
        </w:rPr>
        <w:t>Estado actual:</w:t>
      </w:r>
      <w:r>
        <w:t xml:space="preserve"> Recepción de listas de asistencia físicas y reportes de proyectos socioculturales.</w:t>
      </w:r>
    </w:p>
    <w:p>
      <w:pPr>
        <w:pStyle w:val="ListBullet"/>
        <w:ind w:left="317"/>
      </w:pPr>
      <w:r>
        <w:rPr>
          <w:b/>
          <w:i w:val="0"/>
        </w:rPr>
        <w:t>La barrera crítica:</w:t>
      </w:r>
      <w:r>
        <w:t xml:space="preserve"> Dificultad operativa para </w:t>
      </w:r>
      <w:r>
        <w:rPr>
          <w:b w:val="0"/>
          <w:i/>
        </w:rPr>
        <w:t>"estandarizar y corregir duplicados en el registro"</w:t>
      </w:r>
      <w:r>
        <w:t>.</w:t>
      </w:r>
    </w:p>
    <w:p>
      <w:pPr>
        <w:pStyle w:val="ListBullet"/>
        <w:ind w:left="317"/>
      </w:pPr>
      <w:r>
        <w:rPr>
          <w:b/>
          <w:i w:val="0"/>
        </w:rPr>
        <w:t>Impacto técnico:</w:t>
      </w:r>
      <w:r>
        <w:t xml:space="preserve"> Riesgo de reportar asistencias acumuladas en lugar de personas únicas beneficiadas en talleres continuos.</w:t>
      </w:r>
    </w:p>
    <w:p>
      <w:pPr>
        <w:pStyle w:val="ListBullet"/>
        <w:ind w:left="0"/>
      </w:pPr>
      <w:r>
        <w:rPr>
          <w:sz w:val="18"/>
        </w:rPr>
        <w:br/>
        <w:br/>
        <w:t xml:space="preserve">          </w:t>
      </w:r>
      <w:r>
        <w:rPr>
          <w:b/>
          <w:i w:val="0"/>
        </w:rPr>
        <w:t>D. Recomendaciones y Solución PULSO Q vinculada a las 99 Metas y 34 Procesos:</w:t>
      </w:r>
      <w:r>
        <w:br/>
        <w:br/>
        <w:t xml:space="preserve">          </w:t>
      </w:r>
      <w:r>
        <w:br/>
        <w:br/>
        <w:t xml:space="preserve">        </w:t>
      </w:r>
    </w:p>
    <w:p>
      <w:pPr>
        <w:pStyle w:val="ListBullet"/>
        <w:ind w:left="317"/>
      </w:pPr>
      <w:r>
        <w:rPr>
          <w:b/>
          <w:i w:val="0"/>
        </w:rPr>
        <w:t>1. Captura directa en origen (AppSheet):</w:t>
      </w:r>
      <w:r>
        <w:t xml:space="preserve"> Sustitución de los 46 archivos Excel sueltos por captura directa en </w:t>
      </w:r>
      <w:r>
        <w:rPr>
          <w:rFonts w:ascii="Consolas" w:hAnsi="Consolas"/>
          <w:b w:val="0"/>
          <w:i w:val="0"/>
          <w:sz w:val="16"/>
        </w:rPr>
        <w:t>Registro_Actividades</w:t>
      </w:r>
      <w:r>
        <w:t xml:space="preserve"> y </w:t>
      </w:r>
      <w:r>
        <w:rPr>
          <w:rFonts w:ascii="Consolas" w:hAnsi="Consolas"/>
          <w:b w:val="0"/>
          <w:i w:val="0"/>
          <w:sz w:val="16"/>
        </w:rPr>
        <w:t>Registro_Territorio</w:t>
      </w:r>
      <w:r>
        <w:t xml:space="preserve"> con lista cerrada de los 46 municipios (</w:t>
      </w:r>
      <w:r>
        <w:rPr>
          <w:rFonts w:ascii="Consolas" w:hAnsi="Consolas"/>
          <w:b w:val="0"/>
          <w:i w:val="0"/>
          <w:sz w:val="16"/>
        </w:rPr>
        <w:t>Cat_Municipio</w:t>
      </w:r>
      <w:r>
        <w:t xml:space="preserve">) y vinculación automática al proceso presupuestal en </w:t>
      </w:r>
      <w:r>
        <w:rPr>
          <w:rFonts w:ascii="Consolas" w:hAnsi="Consolas"/>
          <w:b w:val="0"/>
          <w:i w:val="0"/>
          <w:sz w:val="16"/>
        </w:rPr>
        <w:t>Cat_Alineacion</w:t>
      </w:r>
      <w:r>
        <w:t>.</w:t>
      </w:r>
    </w:p>
    <w:p>
      <w:pPr>
        <w:pStyle w:val="ListBullet"/>
        <w:ind w:left="317"/>
      </w:pPr>
      <w:r>
        <w:rPr>
          <w:b/>
          <w:i w:val="0"/>
        </w:rPr>
        <w:t>2. Protocolo de "Doble Entregable" para subsidios:</w:t>
      </w:r>
      <w:r>
        <w:t xml:space="preserve"> El PDF escaneado con firmas y sellos se aloja como respaldo legal en </w:t>
      </w:r>
      <w:r>
        <w:rPr>
          <w:rFonts w:ascii="Consolas" w:hAnsi="Consolas"/>
          <w:b w:val="0"/>
          <w:i w:val="0"/>
          <w:sz w:val="16"/>
        </w:rPr>
        <w:t>Registro_Evidencia</w:t>
      </w:r>
      <w:r>
        <w:t xml:space="preserve"> (Google Drive), mientras que el monto financiero se registra como dato numérico tipado en </w:t>
      </w:r>
      <w:r>
        <w:rPr>
          <w:rFonts w:ascii="Consolas" w:hAnsi="Consolas"/>
          <w:b w:val="0"/>
          <w:i w:val="0"/>
          <w:sz w:val="16"/>
        </w:rPr>
        <w:t>Monto_Total_Contratado</w:t>
      </w:r>
      <w:r>
        <w:t>.</w:t>
      </w:r>
    </w:p>
    <w:p>
      <w:r>
        <w:br w:type="page"/>
      </w:r>
    </w:p>
    <w:p>
      <w:pPr>
        <w:pStyle w:val="Heading1"/>
      </w:pPr>
      <w:r>
        <w:rPr>
          <w:b w:val="0"/>
          <w:i w:val="0"/>
        </w:rPr>
        <w:t>Coordinación de Vinculación y Redes Culturales (Tejido Social y Proyectos Comunitarios)</w:t>
      </w:r>
    </w:p>
    <w:p>
      <w:r>
        <w:rPr>
          <w:b w:val="0"/>
          <w:i w:val="0"/>
        </w:rPr>
        <w:br/>
        <w:br/>
        <w:t xml:space="preserve">        Responsable de articular el tejido social mediante proyectos interinstitucionales, colectivos y caravanas comunitarias, alimentando directamente los </w:t>
      </w:r>
      <w:r>
        <w:rPr>
          <w:b/>
          <w:i w:val="0"/>
        </w:rPr>
        <w:t>Indicadores 1 (Participación de grupos prioritarios) y 2 (Oferta de formación)</w:t>
      </w:r>
      <w:r>
        <w:rPr>
          <w:b w:val="0"/>
          <w:i w:val="0"/>
        </w:rPr>
        <w:t xml:space="preserve">. Presenta una </w:t>
      </w:r>
      <w:r>
        <w:rPr>
          <w:b/>
          <w:i w:val="0"/>
        </w:rPr>
        <w:t>Madurez Digital Media</w:t>
      </w:r>
      <w:r>
        <w:rPr>
          <w:b w:val="0"/>
          <w:i w:val="0"/>
        </w:rPr>
        <w:t>: centraliza archivos en Drive, pero enfrenta riesgos de inflación estadística en proyectos multi-sesión y falta de estandarización territorial.</w:t>
        <w:br/>
        <w:br/>
        <w:t xml:space="preserve">      </w:t>
      </w:r>
    </w:p>
    <w:p>
      <w:pPr>
        <w:pStyle w:val="ListBullet"/>
        <w:ind w:left="0"/>
      </w:pPr>
      <w:r>
        <w:rPr>
          <w:sz w:val="18"/>
        </w:rPr>
        <w:br/>
        <w:br/>
        <w:t xml:space="preserve">          </w:t>
      </w:r>
      <w:r>
        <w:rPr>
          <w:b/>
          <w:i w:val="0"/>
        </w:rPr>
        <w:t>A. Fragmentación en la consolidación de proyectos (Indicadores 1 y 2):</w:t>
      </w:r>
      <w:r>
        <w:br/>
        <w:br/>
        <w:t xml:space="preserve">          </w:t>
      </w:r>
      <w:r>
        <w:br/>
        <w:br/>
        <w:t xml:space="preserve">        </w:t>
      </w:r>
    </w:p>
    <w:p>
      <w:pPr>
        <w:pStyle w:val="ListBullet"/>
        <w:ind w:left="317"/>
      </w:pPr>
      <w:r>
        <w:rPr>
          <w:b/>
          <w:i w:val="0"/>
        </w:rPr>
        <w:t>Estado actual:</w:t>
      </w:r>
      <w:r>
        <w:t xml:space="preserve"> Recepción de reportes mensuales de proyectos comunitarios en hojas de cálculo dispersas.</w:t>
      </w:r>
    </w:p>
    <w:p>
      <w:pPr>
        <w:pStyle w:val="ListBullet"/>
        <w:ind w:left="317"/>
      </w:pPr>
      <w:r>
        <w:rPr>
          <w:b/>
          <w:i w:val="0"/>
        </w:rPr>
        <w:t>La barrera crítica:</w:t>
      </w:r>
      <w:r>
        <w:t xml:space="preserve"> Reiteración del proceso artesanal donde </w:t>
      </w:r>
      <w:r>
        <w:rPr>
          <w:b w:val="0"/>
          <w:i/>
        </w:rPr>
        <w:t>"la captura se realiza manualmente y se pasa a una matriz de concentrado general"</w:t>
      </w:r>
      <w:r>
        <w:t>.</w:t>
      </w:r>
    </w:p>
    <w:p>
      <w:pPr>
        <w:pStyle w:val="ListBullet"/>
        <w:ind w:left="317"/>
      </w:pPr>
      <w:r>
        <w:rPr>
          <w:b/>
          <w:i w:val="0"/>
        </w:rPr>
        <w:t>Impacto técnico:</w:t>
      </w:r>
      <w:r>
        <w:t xml:space="preserve"> Latencia en la disponibilidad de datos e imposibilidad de contar con una radiografía en tiempo real del avance en polígonos prioritarios.</w:t>
      </w:r>
    </w:p>
    <w:p>
      <w:pPr>
        <w:pStyle w:val="ListBullet"/>
        <w:ind w:left="0"/>
      </w:pPr>
      <w:r>
        <w:rPr>
          <w:sz w:val="18"/>
        </w:rPr>
        <w:br/>
        <w:br/>
        <w:t xml:space="preserve">          </w:t>
      </w:r>
      <w:r>
        <w:rPr>
          <w:b/>
          <w:i w:val="0"/>
        </w:rPr>
        <w:t>B. Duplicidad en procesos comunitarios recurrentes y heterogeneidad de evidencia:</w:t>
      </w:r>
      <w:r>
        <w:br/>
        <w:br/>
        <w:t xml:space="preserve">          </w:t>
      </w:r>
      <w:r>
        <w:br/>
        <w:br/>
        <w:t xml:space="preserve">        </w:t>
      </w:r>
    </w:p>
    <w:p>
      <w:pPr>
        <w:pStyle w:val="ListBullet"/>
        <w:ind w:left="317"/>
      </w:pPr>
      <w:r>
        <w:rPr>
          <w:b/>
          <w:i w:val="0"/>
        </w:rPr>
        <w:t>Estado actual:</w:t>
      </w:r>
      <w:r>
        <w:t xml:space="preserve"> Se reportan listas de asistencia y fotografías por cada sesión de trabajo comunitario.</w:t>
      </w:r>
    </w:p>
    <w:p>
      <w:pPr>
        <w:pStyle w:val="ListBullet"/>
        <w:ind w:left="317"/>
      </w:pPr>
      <w:r>
        <w:rPr>
          <w:b/>
          <w:i w:val="0"/>
        </w:rPr>
        <w:t>La barrera crítica:</w:t>
      </w:r>
      <w:r>
        <w:t xml:space="preserve"> Necesidad expresa de </w:t>
      </w:r>
      <w:r>
        <w:rPr>
          <w:b w:val="0"/>
          <w:i/>
        </w:rPr>
        <w:t>"estandarizar y corregir duplicados en el registro"</w:t>
      </w:r>
      <w:r>
        <w:t xml:space="preserve"> ante fuentes externas diversas (líderes comunitarios e instituciones aliadas).</w:t>
      </w:r>
    </w:p>
    <w:p>
      <w:pPr>
        <w:pStyle w:val="ListBullet"/>
        <w:ind w:left="317"/>
      </w:pPr>
      <w:r>
        <w:rPr>
          <w:b/>
          <w:i w:val="0"/>
        </w:rPr>
        <w:t>Impacto técnico:</w:t>
      </w:r>
      <w:r>
        <w:t xml:space="preserve"> En laboratorios o coros comunitarios donde una misma persona asiste a 5 sesiones en el mes, la suma simple sin separar sesiones de padrón único quintuplica artificialmente los beneficiarios del Indicador 1.</w:t>
      </w:r>
    </w:p>
    <w:p>
      <w:pPr>
        <w:pStyle w:val="ListBullet"/>
        <w:ind w:left="0"/>
      </w:pPr>
      <w:r>
        <w:rPr>
          <w:sz w:val="18"/>
        </w:rPr>
        <w:br/>
        <w:br/>
        <w:t xml:space="preserve">          </w:t>
      </w:r>
      <w:r>
        <w:rPr>
          <w:b/>
          <w:i w:val="0"/>
        </w:rPr>
        <w:t>C. Recomendaciones y Solución PULSO Q vinculada a las 99 Metas y 34 Procesos:</w:t>
      </w:r>
      <w:r>
        <w:br/>
        <w:br/>
        <w:t xml:space="preserve">          </w:t>
      </w:r>
      <w:r>
        <w:br/>
        <w:br/>
        <w:t xml:space="preserve">        </w:t>
      </w:r>
    </w:p>
    <w:p>
      <w:pPr>
        <w:pStyle w:val="ListBullet"/>
        <w:ind w:left="317"/>
      </w:pPr>
      <w:r>
        <w:rPr>
          <w:b/>
          <w:i w:val="0"/>
        </w:rPr>
        <w:t>1. Desacoplamiento entre Sesiones y Personas Atendidas:</w:t>
      </w:r>
      <w:r>
        <w:t xml:space="preserve"> El número de sesiones se captura en el atributo </w:t>
      </w:r>
      <w:r>
        <w:rPr>
          <w:rFonts w:ascii="Consolas" w:hAnsi="Consolas"/>
          <w:b w:val="0"/>
          <w:i w:val="0"/>
          <w:sz w:val="16"/>
        </w:rPr>
        <w:t>Total_Sesiones</w:t>
      </w:r>
      <w:r>
        <w:t xml:space="preserve"> de </w:t>
      </w:r>
      <w:r>
        <w:rPr>
          <w:rFonts w:ascii="Consolas" w:hAnsi="Consolas"/>
          <w:b w:val="0"/>
          <w:i w:val="0"/>
          <w:sz w:val="16"/>
        </w:rPr>
        <w:t>Registro_Actividades</w:t>
      </w:r>
      <w:r>
        <w:t xml:space="preserve">, mientras que el padrón real de participantes comunitarios se registra en </w:t>
      </w:r>
      <w:r>
        <w:rPr>
          <w:rFonts w:ascii="Consolas" w:hAnsi="Consolas"/>
          <w:b w:val="0"/>
          <w:i w:val="0"/>
          <w:sz w:val="16"/>
        </w:rPr>
        <w:t>Cantidad_Participacion</w:t>
      </w:r>
      <w:r>
        <w:t>.</w:t>
      </w:r>
    </w:p>
    <w:p>
      <w:pPr>
        <w:pStyle w:val="ListBullet"/>
        <w:ind w:left="317"/>
      </w:pPr>
      <w:r>
        <w:rPr>
          <w:b/>
          <w:i w:val="0"/>
        </w:rPr>
        <w:t>2. Georreferenciación automática de Zonas de Atención Prioritaria (ZAP):</w:t>
      </w:r>
      <w:r>
        <w:t xml:space="preserve"> Selección obligatoria de localidad desde el catálogo </w:t>
      </w:r>
      <w:r>
        <w:rPr>
          <w:rFonts w:ascii="Consolas" w:hAnsi="Consolas"/>
          <w:b w:val="0"/>
          <w:i w:val="0"/>
          <w:sz w:val="16"/>
        </w:rPr>
        <w:t>Cat_Comunidades_Limpio</w:t>
      </w:r>
      <w:r>
        <w:t xml:space="preserve"> (239 localidades), activando automáticamente las banderas </w:t>
      </w:r>
      <w:r>
        <w:rPr>
          <w:rFonts w:ascii="Consolas" w:hAnsi="Consolas"/>
          <w:b w:val="0"/>
          <w:i w:val="0"/>
          <w:sz w:val="16"/>
        </w:rPr>
        <w:t>ZAP_Nuevo_Comienzo</w:t>
      </w:r>
      <w:r>
        <w:t xml:space="preserve"> y </w:t>
      </w:r>
      <w:r>
        <w:rPr>
          <w:rFonts w:ascii="Consolas" w:hAnsi="Consolas"/>
          <w:b w:val="0"/>
          <w:i w:val="0"/>
          <w:sz w:val="16"/>
        </w:rPr>
        <w:t>ZAP_SSyP</w:t>
      </w:r>
      <w:r>
        <w:t>.</w:t>
      </w:r>
    </w:p>
    <w:p>
      <w:r>
        <w:br w:type="page"/>
      </w:r>
    </w:p>
    <w:p>
      <w:pPr>
        <w:pStyle w:val="Heading1"/>
      </w:pPr>
      <w:r>
        <w:rPr>
          <w:b w:val="0"/>
          <w:i w:val="0"/>
        </w:rPr>
        <w:t>Dirección General de Patrimonio Cultural (Zonas Arqueológicas y Centros de Atención a Visitantes)</w:t>
      </w:r>
    </w:p>
    <w:p>
      <w:r>
        <w:rPr>
          <w:b w:val="0"/>
          <w:i w:val="0"/>
        </w:rPr>
        <w:br/>
        <w:br/>
        <w:t xml:space="preserve">        Genera el insumo exclusivo del </w:t>
      </w:r>
      <w:r>
        <w:rPr>
          <w:b/>
          <w:i w:val="0"/>
        </w:rPr>
        <w:t>Indicador 4 (Participación en procesos de memoria y patrimonio)</w:t>
      </w:r>
      <w:r>
        <w:rPr>
          <w:b w:val="0"/>
          <w:i w:val="0"/>
        </w:rPr>
        <w:t xml:space="preserve"> y alimenta las metas de conservación y difusión patrimonial. Presenta una </w:t>
      </w:r>
      <w:r>
        <w:rPr>
          <w:b/>
          <w:i w:val="0"/>
        </w:rPr>
        <w:t>Madurez Digital Crítica (Baja)</w:t>
      </w:r>
      <w:r>
        <w:rPr>
          <w:b w:val="0"/>
          <w:i w:val="0"/>
        </w:rPr>
        <w:t xml:space="preserve"> condicionada no por resistencia operativa, sino por una barrera física de infraestructura en las zonas arqueológicas del Estado.</w:t>
        <w:br/>
        <w:br/>
        <w:t xml:space="preserve">      </w:t>
      </w:r>
    </w:p>
    <w:p>
      <w:pPr>
        <w:pStyle w:val="ListBullet"/>
        <w:ind w:left="0"/>
      </w:pPr>
      <w:r>
        <w:rPr>
          <w:sz w:val="18"/>
        </w:rPr>
        <w:br/>
        <w:br/>
        <w:t xml:space="preserve">          </w:t>
      </w:r>
      <w:r>
        <w:rPr>
          <w:b/>
          <w:i w:val="0"/>
        </w:rPr>
        <w:t>A. La brecha física de conectividad en sitio:</w:t>
      </w:r>
      <w:r>
        <w:br/>
        <w:br/>
        <w:t xml:space="preserve">          </w:t>
      </w:r>
      <w:r>
        <w:br/>
        <w:br/>
        <w:t xml:space="preserve">        </w:t>
      </w:r>
    </w:p>
    <w:p>
      <w:pPr>
        <w:pStyle w:val="ListBullet"/>
        <w:ind w:left="317"/>
      </w:pPr>
      <w:r>
        <w:rPr>
          <w:b/>
          <w:i w:val="0"/>
        </w:rPr>
        <w:t>Estado actual:</w:t>
      </w:r>
      <w:r>
        <w:t xml:space="preserve"> La captura primaria de visitantes se realiza manualmente con papel y lápiz en los sitios patrimoniales y posteriormente se transcribe a Excel para enviarse a oficinas centrales.</w:t>
      </w:r>
    </w:p>
    <w:p>
      <w:pPr>
        <w:pStyle w:val="ListBullet"/>
        <w:ind w:left="317"/>
      </w:pPr>
      <w:r>
        <w:rPr>
          <w:b/>
          <w:i w:val="0"/>
        </w:rPr>
        <w:t>La barrera crítica:</w:t>
      </w:r>
      <w:r>
        <w:t xml:space="preserve"> El levantamiento advierte textualmente: </w:t>
      </w:r>
      <w:r>
        <w:rPr>
          <w:b w:val="0"/>
          <w:i/>
        </w:rPr>
        <w:t>"En los Centros de Atención a Visitantes (CAV) no hay servicio de internet, y en algunos no hay energía eléctrica"</w:t>
      </w:r>
      <w:r>
        <w:t>.</w:t>
      </w:r>
    </w:p>
    <w:p>
      <w:pPr>
        <w:pStyle w:val="ListBullet"/>
        <w:ind w:left="317"/>
      </w:pPr>
      <w:r>
        <w:rPr>
          <w:b/>
          <w:i w:val="0"/>
        </w:rPr>
        <w:t>Impacto técnico:</w:t>
      </w:r>
      <w:r>
        <w:t xml:space="preserve"> Alta latencia y doble transcripción manual que triplica el margen de error humano. En la auditoría de </w:t>
      </w:r>
      <w:r>
        <w:rPr>
          <w:rFonts w:ascii="Consolas" w:hAnsi="Consolas"/>
          <w:b w:val="0"/>
          <w:i w:val="0"/>
          <w:sz w:val="16"/>
        </w:rPr>
        <w:t>DB_Sistema_Cultura_GTO_V1</w:t>
      </w:r>
      <w:r>
        <w:t xml:space="preserve">, el folio </w:t>
      </w:r>
      <w:r>
        <w:rPr>
          <w:rFonts w:ascii="Consolas" w:hAnsi="Consolas"/>
          <w:b w:val="0"/>
          <w:i w:val="0"/>
          <w:sz w:val="16"/>
        </w:rPr>
        <w:t>ACT-SCBV52724</w:t>
      </w:r>
      <w:r>
        <w:t xml:space="preserve"> (Zona Arqueológica de Cañada de la Virgen en San Miguel de Allende) registró </w:t>
      </w:r>
      <w:r>
        <w:rPr>
          <w:b/>
          <w:i w:val="0"/>
        </w:rPr>
        <w:t>49,465 visitantes en territorio contra sólo 211 en demografía</w:t>
      </w:r>
      <w:r>
        <w:t xml:space="preserve"> (+49,254 de discrepancia).</w:t>
      </w:r>
    </w:p>
    <w:p>
      <w:pPr>
        <w:pStyle w:val="ListBullet"/>
        <w:ind w:left="0"/>
      </w:pPr>
      <w:r>
        <w:rPr>
          <w:sz w:val="18"/>
        </w:rPr>
        <w:br/>
        <w:br/>
        <w:t xml:space="preserve">          </w:t>
      </w:r>
      <w:r>
        <w:rPr>
          <w:b/>
          <w:i w:val="0"/>
        </w:rPr>
        <w:t>B. Medición artesanal de audiencias digitales:</w:t>
      </w:r>
      <w:r>
        <w:br/>
        <w:br/>
        <w:t xml:space="preserve">          </w:t>
      </w:r>
      <w:r>
        <w:br/>
        <w:br/>
        <w:t xml:space="preserve">        </w:t>
      </w:r>
    </w:p>
    <w:p>
      <w:pPr>
        <w:pStyle w:val="ListBullet"/>
        <w:ind w:left="317"/>
      </w:pPr>
      <w:r>
        <w:rPr>
          <w:b/>
          <w:i w:val="0"/>
        </w:rPr>
        <w:t>Estado actual:</w:t>
      </w:r>
      <w:r>
        <w:t xml:space="preserve"> Se reporta que </w:t>
      </w:r>
      <w:r>
        <w:rPr>
          <w:b w:val="0"/>
          <w:i/>
        </w:rPr>
        <w:t>"en base a imágenes se realiza el conteo"</w:t>
      </w:r>
      <w:r>
        <w:t xml:space="preserve"> de interacciones digitales por zona arqueológica.</w:t>
      </w:r>
    </w:p>
    <w:p>
      <w:pPr>
        <w:pStyle w:val="ListBullet"/>
        <w:ind w:left="317"/>
      </w:pPr>
      <w:r>
        <w:rPr>
          <w:b/>
          <w:i w:val="0"/>
        </w:rPr>
        <w:t>La barrera crítica:</w:t>
      </w:r>
      <w:r>
        <w:t xml:space="preserve"> Recolección artesanal mediante revisión visual de capturas de pantalla, no escalable y propensa a error.</w:t>
      </w:r>
    </w:p>
    <w:p>
      <w:pPr>
        <w:pStyle w:val="ListBullet"/>
        <w:ind w:left="317"/>
      </w:pPr>
      <w:r>
        <w:rPr>
          <w:b/>
          <w:i w:val="0"/>
        </w:rPr>
        <w:t>Impacto técnico:</w:t>
      </w:r>
      <w:r>
        <w:t xml:space="preserve"> Inconsistencia en la trazabilidad del alcance digital frente al aforo físico en recintos patrimoniales.</w:t>
      </w:r>
    </w:p>
    <w:p>
      <w:pPr>
        <w:pStyle w:val="ListBullet"/>
        <w:ind w:left="0"/>
      </w:pPr>
      <w:r>
        <w:rPr>
          <w:sz w:val="18"/>
        </w:rPr>
        <w:br/>
        <w:br/>
        <w:t xml:space="preserve">          </w:t>
      </w:r>
      <w:r>
        <w:rPr>
          <w:b/>
          <w:i w:val="0"/>
        </w:rPr>
        <w:t>C. Recomendaciones y Solución PULSO Q vinculada a las 99 Metas y 34 Procesos:</w:t>
      </w:r>
      <w:r>
        <w:br/>
        <w:br/>
        <w:t xml:space="preserve">          </w:t>
      </w:r>
      <w:r>
        <w:br/>
        <w:br/>
        <w:t xml:space="preserve">        </w:t>
      </w:r>
    </w:p>
    <w:p>
      <w:pPr>
        <w:pStyle w:val="ListBullet"/>
        <w:ind w:left="317"/>
      </w:pPr>
      <w:r>
        <w:rPr>
          <w:b/>
          <w:i w:val="0"/>
        </w:rPr>
        <w:t>1. Despliegue de la "Plantilla Maestra de Carga Local (Offline)":</w:t>
      </w:r>
      <w:r>
        <w:t xml:space="preserve"> Instalación en los equipos de los encargados de los CAV de una plantilla local protegida con menús desplegables idénticos a los 18 catálogos (</w:t>
      </w:r>
      <w:r>
        <w:rPr>
          <w:rFonts w:ascii="Consolas" w:hAnsi="Consolas"/>
          <w:b w:val="0"/>
          <w:i w:val="0"/>
          <w:sz w:val="16"/>
        </w:rPr>
        <w:t>Cat_Alineacion</w:t>
      </w:r>
      <w:r>
        <w:t xml:space="preserve">, </w:t>
      </w:r>
      <w:r>
        <w:rPr>
          <w:rFonts w:ascii="Consolas" w:hAnsi="Consolas"/>
          <w:b w:val="0"/>
          <w:i w:val="0"/>
          <w:sz w:val="16"/>
        </w:rPr>
        <w:t>Cat_Recintos</w:t>
      </w:r>
      <w:r>
        <w:t>) para captura semanal sin internet y sincronización diferida al contar con red.</w:t>
      </w:r>
    </w:p>
    <w:p>
      <w:pPr>
        <w:pStyle w:val="ListBullet"/>
        <w:ind w:left="317"/>
      </w:pPr>
      <w:r>
        <w:rPr>
          <w:b/>
          <w:i w:val="0"/>
        </w:rPr>
        <w:t>2. Homologación de taquilla mediante "Dato global":</w:t>
      </w:r>
      <w:r>
        <w:t xml:space="preserve"> Cuando la afluencia en taquilla impida censar edad por edad, el enlace registrará el mismo total territorial en </w:t>
      </w:r>
      <w:r>
        <w:rPr>
          <w:rFonts w:ascii="Consolas" w:hAnsi="Consolas"/>
          <w:b w:val="0"/>
          <w:i w:val="0"/>
          <w:sz w:val="16"/>
        </w:rPr>
        <w:t>Registro_Poblacion</w:t>
      </w:r>
      <w:r>
        <w:t xml:space="preserve"> bajo la categoría controlada </w:t>
      </w:r>
      <w:r>
        <w:rPr>
          <w:rFonts w:ascii="Consolas" w:hAnsi="Consolas"/>
          <w:b w:val="0"/>
          <w:i w:val="0"/>
          <w:sz w:val="16"/>
        </w:rPr>
        <w:t>"Dato global"</w:t>
      </w:r>
      <w:r>
        <w:t>, conservando el total y marcando expresamente que el desglose demográfico no está disponible.</w:t>
      </w:r>
    </w:p>
    <w:p>
      <w:r>
        <w:br w:type="page"/>
      </w:r>
    </w:p>
    <w:p>
      <w:pPr>
        <w:pStyle w:val="Heading1"/>
      </w:pPr>
      <w:r>
        <w:rPr>
          <w:b w:val="0"/>
          <w:i w:val="0"/>
        </w:rPr>
        <w:t>Dirección General de Museos, Artes Visuales y Exposiciones (DGMAVE)</w:t>
      </w:r>
    </w:p>
    <w:p>
      <w:r>
        <w:rPr>
          <w:b w:val="0"/>
          <w:i w:val="0"/>
        </w:rPr>
        <w:br/>
        <w:br/>
        <w:t xml:space="preserve">        Columna vertebral de la oferta expositiva y de servicios educativos museísticos del Estado (Circuito Estatal de Museos), impactando en los </w:t>
      </w:r>
      <w:r>
        <w:rPr>
          <w:b/>
          <w:i w:val="0"/>
        </w:rPr>
        <w:t>Indicadores 11 (Exposiciones e inauguraciones), 1 y 13 (Grupos prioritarios y jóvenes en servicios educativos) y 12 (Agentes culturales en formación)</w:t>
      </w:r>
      <w:r>
        <w:rPr>
          <w:b w:val="0"/>
          <w:i w:val="0"/>
        </w:rPr>
        <w:t xml:space="preserve">. Presenta una </w:t>
      </w:r>
      <w:r>
        <w:rPr>
          <w:b/>
          <w:i w:val="0"/>
        </w:rPr>
        <w:t>Madurez Digital Desigual (Baja en Formatos / Alta en Potencial)</w:t>
      </w:r>
      <w:r>
        <w:rPr>
          <w:b w:val="0"/>
          <w:i w:val="0"/>
        </w:rPr>
        <w:t>: genera información constante (245 actividades auditadas en la base), pero gran parte de su numeralia histórica se entregaba encerrada en documentos narrativos.</w:t>
        <w:br/>
        <w:br/>
        <w:t xml:space="preserve">      </w:t>
      </w:r>
    </w:p>
    <w:p>
      <w:pPr>
        <w:pStyle w:val="ListBullet"/>
        <w:ind w:left="0"/>
      </w:pPr>
      <w:r>
        <w:rPr>
          <w:sz w:val="18"/>
        </w:rPr>
        <w:br/>
        <w:br/>
        <w:t xml:space="preserve">          </w:t>
      </w:r>
      <w:r>
        <w:rPr>
          <w:b/>
          <w:i w:val="0"/>
        </w:rPr>
        <w:t>A. Datos cuantitativos encerrados en formatos narrativos (Word y PowerPoint):</w:t>
      </w:r>
      <w:r>
        <w:br/>
        <w:br/>
        <w:t xml:space="preserve">          </w:t>
      </w:r>
      <w:r>
        <w:br/>
        <w:br/>
        <w:t xml:space="preserve">        </w:t>
      </w:r>
    </w:p>
    <w:p>
      <w:pPr>
        <w:pStyle w:val="ListBullet"/>
        <w:ind w:left="317"/>
      </w:pPr>
      <w:r>
        <w:rPr>
          <w:b/>
          <w:i w:val="0"/>
        </w:rPr>
        <w:t>Estado actual:</w:t>
      </w:r>
      <w:r>
        <w:t xml:space="preserve"> Reportes clave como el número de exposiciones inauguradas o actividades educativas se entregan en documentos Word (</w:t>
      </w:r>
      <w:r>
        <w:rPr>
          <w:rFonts w:ascii="Consolas" w:hAnsi="Consolas"/>
          <w:b w:val="0"/>
          <w:i w:val="0"/>
          <w:sz w:val="16"/>
        </w:rPr>
        <w:t>.docx</w:t>
      </w:r>
      <w:r>
        <w:t>) o presentaciones PowerPoint (</w:t>
      </w:r>
      <w:r>
        <w:rPr>
          <w:rFonts w:ascii="Consolas" w:hAnsi="Consolas"/>
          <w:b w:val="0"/>
          <w:i w:val="0"/>
          <w:sz w:val="16"/>
        </w:rPr>
        <w:t>.pptx</w:t>
      </w:r>
      <w:r>
        <w:t>).</w:t>
      </w:r>
    </w:p>
    <w:p>
      <w:pPr>
        <w:pStyle w:val="ListBullet"/>
        <w:ind w:left="317"/>
      </w:pPr>
      <w:r>
        <w:rPr>
          <w:b/>
          <w:i w:val="0"/>
        </w:rPr>
        <w:t>La barrera crítica:</w:t>
      </w:r>
      <w:r>
        <w:t xml:space="preserve"> Un sistema de información no puede contabilizar automáticamente un párrafo en prosa que dice </w:t>
      </w:r>
      <w:r>
        <w:rPr>
          <w:b w:val="0"/>
          <w:i/>
        </w:rPr>
        <w:t>"Este mes se inauguraron tres exposiciones..."</w:t>
      </w:r>
      <w:r>
        <w:t>; requiere un registro estructurado tipado.</w:t>
      </w:r>
    </w:p>
    <w:p>
      <w:pPr>
        <w:pStyle w:val="ListBullet"/>
        <w:ind w:left="317"/>
      </w:pPr>
      <w:r>
        <w:rPr>
          <w:b/>
          <w:i w:val="0"/>
        </w:rPr>
        <w:t>Impacto técnico:</w:t>
      </w:r>
      <w:r>
        <w:t xml:space="preserve"> Obliga a que personal de Planeación lea documentos extensos y transcriba manualmente las cifras para poder graficarlas.</w:t>
      </w:r>
    </w:p>
    <w:p>
      <w:pPr>
        <w:pStyle w:val="ListBullet"/>
        <w:ind w:left="0"/>
      </w:pPr>
      <w:r>
        <w:rPr>
          <w:sz w:val="18"/>
        </w:rPr>
        <w:br/>
        <w:br/>
        <w:t xml:space="preserve">          </w:t>
      </w:r>
      <w:r>
        <w:rPr>
          <w:b/>
          <w:i w:val="0"/>
        </w:rPr>
        <w:t>B. Limitaciones operativas en taquilla e inconsistencia en taxonomía de recintos:</w:t>
      </w:r>
      <w:r>
        <w:br/>
        <w:br/>
        <w:t xml:space="preserve">          </w:t>
      </w:r>
      <w:r>
        <w:br/>
        <w:br/>
        <w:t xml:space="preserve">        </w:t>
      </w:r>
    </w:p>
    <w:p>
      <w:pPr>
        <w:pStyle w:val="ListBullet"/>
        <w:ind w:left="317"/>
      </w:pPr>
      <w:r>
        <w:rPr>
          <w:b/>
          <w:i w:val="0"/>
        </w:rPr>
        <w:t>Estado actual:</w:t>
      </w:r>
      <w:r>
        <w:t xml:space="preserve"> Se exigen desgloses detallados de visitantes (edad, sexo, procedencia) en múltiples hojas de Excel.</w:t>
      </w:r>
    </w:p>
    <w:p>
      <w:pPr>
        <w:pStyle w:val="ListBullet"/>
        <w:ind w:left="317"/>
      </w:pPr>
      <w:r>
        <w:rPr>
          <w:b/>
          <w:i w:val="0"/>
        </w:rPr>
        <w:t>La barrera crítica:</w:t>
      </w:r>
      <w:r>
        <w:t xml:space="preserve"> La dirección expone que </w:t>
      </w:r>
      <w:r>
        <w:rPr>
          <w:b w:val="0"/>
          <w:i/>
        </w:rPr>
        <w:t>"no tenemos personal capacitado para realizar la disgregación en las áreas de taquillas y no contamos con el equipo técnico"</w:t>
      </w:r>
      <w:r>
        <w:t xml:space="preserve"> (sólo se disgrega Hombre/Mujer), aunado a la necesidad de </w:t>
      </w:r>
      <w:r>
        <w:rPr>
          <w:b w:val="0"/>
          <w:i/>
        </w:rPr>
        <w:t>"homologar letras, mayúsculas, etc."</w:t>
      </w:r>
      <w:r>
        <w:t xml:space="preserve"> en los nombres de los museos.</w:t>
      </w:r>
    </w:p>
    <w:p>
      <w:pPr>
        <w:pStyle w:val="ListBullet"/>
        <w:ind w:left="317"/>
      </w:pPr>
      <w:r>
        <w:rPr>
          <w:b/>
          <w:i w:val="0"/>
        </w:rPr>
        <w:t>Impacto técnico:</w:t>
      </w:r>
      <w:r>
        <w:t xml:space="preserve"> Exigir un censo edad por edad inviable en taquilla provoca vacíos en </w:t>
      </w:r>
      <w:r>
        <w:rPr>
          <w:rFonts w:ascii="Consolas" w:hAnsi="Consolas"/>
          <w:b w:val="0"/>
          <w:i w:val="0"/>
          <w:sz w:val="16"/>
        </w:rPr>
        <w:t>Registro_Poblacion</w:t>
      </w:r>
      <w:r>
        <w:t>, mientras que escribir el nombre de un mismo museo con variantes ortográficas fragmenta la estadística anual.</w:t>
      </w:r>
    </w:p>
    <w:p>
      <w:pPr>
        <w:pStyle w:val="ListBullet"/>
        <w:ind w:left="0"/>
      </w:pPr>
      <w:r>
        <w:rPr>
          <w:sz w:val="18"/>
        </w:rPr>
        <w:br/>
        <w:br/>
        <w:t xml:space="preserve">          </w:t>
      </w:r>
      <w:r>
        <w:rPr>
          <w:b/>
          <w:i w:val="0"/>
        </w:rPr>
        <w:t>C. Recomendaciones y Solución PULSO Q vinculada a las 99 Metas y 34 Procesos:</w:t>
      </w:r>
      <w:r>
        <w:br/>
        <w:br/>
        <w:t xml:space="preserve">          </w:t>
      </w:r>
      <w:r>
        <w:br/>
        <w:br/>
        <w:t xml:space="preserve">        </w:t>
      </w:r>
    </w:p>
    <w:p>
      <w:pPr>
        <w:pStyle w:val="ListBullet"/>
        <w:ind w:left="317"/>
      </w:pPr>
      <w:r>
        <w:rPr>
          <w:b/>
          <w:i w:val="0"/>
        </w:rPr>
        <w:t>1. Erradicación del reporte en Word para numeralia y catálogo cerrado de 27 recintos:</w:t>
      </w:r>
      <w:r>
        <w:t xml:space="preserve"> Toda exposición, inauguración o actividad educativa se registra directamente en </w:t>
      </w:r>
      <w:r>
        <w:rPr>
          <w:rFonts w:ascii="Consolas" w:hAnsi="Consolas"/>
          <w:b w:val="0"/>
          <w:i w:val="0"/>
          <w:sz w:val="16"/>
        </w:rPr>
        <w:t>Registro_Actividades</w:t>
      </w:r>
      <w:r>
        <w:t xml:space="preserve"> seleccionando el museo desde el catálogo cerrado </w:t>
      </w:r>
      <w:r>
        <w:rPr>
          <w:rFonts w:ascii="Consolas" w:hAnsi="Consolas"/>
          <w:b w:val="0"/>
          <w:i w:val="0"/>
          <w:sz w:val="16"/>
        </w:rPr>
        <w:t>Cat_Recintos</w:t>
      </w:r>
      <w:r>
        <w:t xml:space="preserve"> (27 recintos estatales) y vinculándolo a su proceso (ej. </w:t>
      </w:r>
      <w:r>
        <w:rPr>
          <w:rFonts w:ascii="Consolas" w:hAnsi="Consolas"/>
          <w:b w:val="0"/>
          <w:i w:val="0"/>
          <w:sz w:val="16"/>
        </w:rPr>
        <w:t>PB3572</w:t>
      </w:r>
      <w:r>
        <w:t xml:space="preserve">) en </w:t>
      </w:r>
      <w:r>
        <w:rPr>
          <w:rFonts w:ascii="Consolas" w:hAnsi="Consolas"/>
          <w:b w:val="0"/>
          <w:i w:val="0"/>
          <w:sz w:val="16"/>
        </w:rPr>
        <w:t>Cat_Alineacion</w:t>
      </w:r>
      <w:r>
        <w:t>.</w:t>
      </w:r>
    </w:p>
    <w:p>
      <w:pPr>
        <w:pStyle w:val="ListBullet"/>
        <w:ind w:left="317"/>
      </w:pPr>
      <w:r>
        <w:rPr>
          <w:b/>
          <w:i w:val="0"/>
        </w:rPr>
        <w:t>2. Escalamiento del caso de éxito de formularios digitales:</w:t>
      </w:r>
      <w:r>
        <w:t xml:space="preserve"> Extender el modelo de formularios estructurados que la DGMAVE ya utilizaba exitosamente en </w:t>
      </w:r>
      <w:r>
        <w:rPr>
          <w:b w:val="0"/>
          <w:i/>
        </w:rPr>
        <w:t>solicitudes de visitas escolares</w:t>
      </w:r>
      <w:r>
        <w:t xml:space="preserve"> hacia todas las coordinaciones educativas de los museos.</w:t>
      </w:r>
    </w:p>
    <w:p>
      <w:r>
        <w:br w:type="page"/>
      </w:r>
    </w:p>
    <w:p>
      <w:pPr>
        <w:pStyle w:val="Heading1"/>
      </w:pPr>
      <w:r>
        <w:rPr>
          <w:b w:val="0"/>
          <w:i w:val="0"/>
        </w:rPr>
        <w:t>Dirección General de Producción Artística (Programación Escénica y Operación de Teatros)</w:t>
      </w:r>
    </w:p>
    <w:p>
      <w:r>
        <w:rPr>
          <w:b w:val="0"/>
          <w:i w:val="0"/>
        </w:rPr>
        <w:br/>
        <w:br/>
        <w:t xml:space="preserve">        Responsable de la programación escénica estatal y de la operación de los principales teatros (Teatro Juárez, Teatro Cervantes, Teatro Principal, etc.), alimentando los </w:t>
      </w:r>
      <w:r>
        <w:rPr>
          <w:b/>
          <w:i w:val="0"/>
        </w:rPr>
        <w:t>Indicadores 11 (Oferta cultural), 13 (Jóvenes), 7 (Contratos de servicios profesionales a artistas) y 3 (Aprovechamiento de espacios culturales)</w:t>
      </w:r>
      <w:r>
        <w:rPr>
          <w:b w:val="0"/>
          <w:i w:val="0"/>
        </w:rPr>
        <w:t xml:space="preserve">. Presenta una </w:t>
      </w:r>
      <w:r>
        <w:rPr>
          <w:b/>
          <w:i w:val="0"/>
        </w:rPr>
        <w:t>Madurez Digital Baja por Riesgo de Integridad</w:t>
      </w:r>
      <w:r>
        <w:rPr>
          <w:b w:val="0"/>
          <w:i w:val="0"/>
        </w:rPr>
        <w:t>: utiliza Excel, pero con alta vulnerabilidad en sus fórmulas y catálogos abiertos.</w:t>
        <w:br/>
        <w:br/>
        <w:t xml:space="preserve">      </w:t>
      </w:r>
    </w:p>
    <w:p>
      <w:pPr>
        <w:pStyle w:val="ListBullet"/>
        <w:ind w:left="0"/>
      </w:pPr>
      <w:r>
        <w:rPr>
          <w:sz w:val="18"/>
        </w:rPr>
        <w:br/>
        <w:br/>
        <w:t xml:space="preserve">          </w:t>
      </w:r>
      <w:r>
        <w:rPr>
          <w:b/>
          <w:i w:val="0"/>
        </w:rPr>
        <w:t>A. Inestabilidad en fórmulas de hojas de cálculo y dispersión presupuestal:</w:t>
      </w:r>
      <w:r>
        <w:br/>
        <w:br/>
        <w:t xml:space="preserve">          </w:t>
      </w:r>
      <w:r>
        <w:br/>
        <w:br/>
        <w:t xml:space="preserve">        </w:t>
      </w:r>
    </w:p>
    <w:p>
      <w:pPr>
        <w:pStyle w:val="ListBullet"/>
        <w:ind w:left="317"/>
      </w:pPr>
      <w:r>
        <w:rPr>
          <w:b/>
          <w:i w:val="0"/>
        </w:rPr>
        <w:t>Estado actual:</w:t>
      </w:r>
      <w:r>
        <w:t xml:space="preserve"> Uso de hojas de cálculo abiertas para el registro diario y mensual de funciones, taquilla y presupuesto por programa.</w:t>
      </w:r>
    </w:p>
    <w:p>
      <w:pPr>
        <w:pStyle w:val="ListBullet"/>
        <w:ind w:left="317"/>
      </w:pPr>
      <w:r>
        <w:rPr>
          <w:b/>
          <w:i w:val="0"/>
        </w:rPr>
        <w:t>La barrera crítica:</w:t>
      </w:r>
      <w:r>
        <w:t xml:space="preserve"> El diagnóstico advierte que </w:t>
      </w:r>
      <w:r>
        <w:rPr>
          <w:b w:val="0"/>
          <w:i/>
        </w:rPr>
        <w:t>"a veces no ponen bien las fórmulas y se refleja información poco fiable"</w:t>
      </w:r>
      <w:r>
        <w:t xml:space="preserve">, además de requerir </w:t>
      </w:r>
      <w:r>
        <w:rPr>
          <w:b w:val="0"/>
          <w:i/>
        </w:rPr>
        <w:t>"estandarizar nombres correctos y completos de los programas"</w:t>
      </w:r>
      <w:r>
        <w:t xml:space="preserve"> y </w:t>
      </w:r>
      <w:r>
        <w:rPr>
          <w:b w:val="0"/>
          <w:i/>
        </w:rPr>
        <w:t>"unificar criterios para que todas las celdas sean llenadas"</w:t>
      </w:r>
      <w:r>
        <w:t>.</w:t>
      </w:r>
    </w:p>
    <w:p>
      <w:pPr>
        <w:pStyle w:val="ListBullet"/>
        <w:ind w:left="317"/>
      </w:pPr>
      <w:r>
        <w:rPr>
          <w:b/>
          <w:i w:val="0"/>
        </w:rPr>
        <w:t>Impacto técnico:</w:t>
      </w:r>
      <w:r>
        <w:t xml:space="preserve"> La alteración accidental de fórmulas (</w:t>
      </w:r>
      <w:r>
        <w:rPr>
          <w:rFonts w:ascii="Consolas" w:hAnsi="Consolas"/>
          <w:b w:val="0"/>
          <w:i w:val="0"/>
          <w:sz w:val="16"/>
        </w:rPr>
        <w:t>#REF!</w:t>
      </w:r>
      <w:r>
        <w:t xml:space="preserve">, </w:t>
      </w:r>
      <w:r>
        <w:rPr>
          <w:rFonts w:ascii="Consolas" w:hAnsi="Consolas"/>
          <w:b w:val="0"/>
          <w:i w:val="0"/>
          <w:sz w:val="16"/>
        </w:rPr>
        <w:t>#DIV/0!</w:t>
      </w:r>
      <w:r>
        <w:t>) y la escritura manual de nombres de programas presupuestarios impiden cruzar con exactitud el gasto ejercido contra las metas del Programa de Gobierno.</w:t>
      </w:r>
    </w:p>
    <w:p>
      <w:pPr>
        <w:pStyle w:val="ListBullet"/>
        <w:ind w:left="0"/>
      </w:pPr>
      <w:r>
        <w:rPr>
          <w:sz w:val="18"/>
        </w:rPr>
        <w:br/>
        <w:br/>
        <w:t xml:space="preserve">          </w:t>
      </w:r>
      <w:r>
        <w:rPr>
          <w:b/>
          <w:i w:val="0"/>
        </w:rPr>
        <w:t>B. Instrumentos de evaluación no estandarizados (Encuestas):</w:t>
      </w:r>
      <w:r>
        <w:br/>
        <w:br/>
        <w:t xml:space="preserve">          </w:t>
      </w:r>
      <w:r>
        <w:br/>
        <w:br/>
        <w:t xml:space="preserve">        </w:t>
      </w:r>
    </w:p>
    <w:p>
      <w:pPr>
        <w:pStyle w:val="ListBullet"/>
        <w:ind w:left="317"/>
      </w:pPr>
      <w:r>
        <w:rPr>
          <w:b/>
          <w:i w:val="0"/>
        </w:rPr>
        <w:t>Estado actual:</w:t>
      </w:r>
      <w:r>
        <w:t>Aplicación de encuestas de satisfacción al público, enlaces municipales y artistas en archivos Word y Excel dispersos.</w:t>
      </w:r>
    </w:p>
    <w:p>
      <w:pPr>
        <w:pStyle w:val="ListBullet"/>
        <w:ind w:left="317"/>
      </w:pPr>
      <w:r>
        <w:rPr>
          <w:b/>
          <w:i w:val="0"/>
        </w:rPr>
        <w:t>La barrera crítica:</w:t>
      </w:r>
      <w:r>
        <w:t xml:space="preserve"> Ausencia de un formulario digital único que tabule automáticamente las respuestas.</w:t>
      </w:r>
    </w:p>
    <w:p>
      <w:pPr>
        <w:pStyle w:val="ListBullet"/>
        <w:ind w:left="317"/>
      </w:pPr>
      <w:r>
        <w:rPr>
          <w:b/>
          <w:i w:val="0"/>
        </w:rPr>
        <w:t>Impacto técnico:</w:t>
      </w:r>
      <w:r>
        <w:t xml:space="preserve"> Pérdida de trazabilidad histórica sobre el índice de satisfacción ciudadana en recintos escénicos.</w:t>
      </w:r>
    </w:p>
    <w:p>
      <w:pPr>
        <w:pStyle w:val="ListBullet"/>
        <w:ind w:left="0"/>
      </w:pPr>
      <w:r>
        <w:rPr>
          <w:sz w:val="18"/>
        </w:rPr>
        <w:br/>
        <w:br/>
        <w:t xml:space="preserve">          </w:t>
      </w:r>
      <w:r>
        <w:rPr>
          <w:b/>
          <w:i w:val="0"/>
        </w:rPr>
        <w:t>C. Recomendaciones y Solución PULSO Q vinculada a las 99 Metas y 34 Procesos:</w:t>
      </w:r>
      <w:r>
        <w:br/>
        <w:br/>
        <w:t xml:space="preserve">          </w:t>
      </w:r>
      <w:r>
        <w:br/>
        <w:br/>
        <w:t xml:space="preserve">        </w:t>
      </w:r>
    </w:p>
    <w:p>
      <w:pPr>
        <w:pStyle w:val="ListBullet"/>
        <w:ind w:left="317"/>
      </w:pPr>
      <w:r>
        <w:rPr>
          <w:b/>
          <w:i w:val="0"/>
        </w:rPr>
        <w:t>1. Eliminación de fórmulas editables y selección cerrada de los 34 procesos:</w:t>
      </w:r>
      <w:r>
        <w:t xml:space="preserve"> En el formulario transaccional de </w:t>
      </w:r>
      <w:r>
        <w:rPr>
          <w:rFonts w:ascii="Consolas" w:hAnsi="Consolas"/>
          <w:b w:val="0"/>
          <w:i w:val="0"/>
          <w:sz w:val="16"/>
        </w:rPr>
        <w:t>DB_Sistema_Cultura_GTO_V1</w:t>
      </w:r>
      <w:r>
        <w:t>, el usuario operativo sólo ingresa datos brutos (</w:t>
      </w:r>
      <w:r>
        <w:rPr>
          <w:rFonts w:ascii="Consolas" w:hAnsi="Consolas"/>
          <w:b w:val="0"/>
          <w:i w:val="0"/>
          <w:sz w:val="16"/>
        </w:rPr>
        <w:t>Cantidad_Acceso</w:t>
      </w:r>
      <w:r>
        <w:t xml:space="preserve">, </w:t>
      </w:r>
      <w:r>
        <w:rPr>
          <w:rFonts w:ascii="Consolas" w:hAnsi="Consolas"/>
          <w:b w:val="0"/>
          <w:i w:val="0"/>
          <w:sz w:val="16"/>
        </w:rPr>
        <w:t>Monto_Total_Contratado</w:t>
      </w:r>
      <w:r>
        <w:t xml:space="preserve">, </w:t>
      </w:r>
      <w:r>
        <w:rPr>
          <w:rFonts w:ascii="Consolas" w:hAnsi="Consolas"/>
          <w:b w:val="0"/>
          <w:i w:val="0"/>
          <w:sz w:val="16"/>
        </w:rPr>
        <w:t>Cantidad_Agentes</w:t>
      </w:r>
      <w:r>
        <w:t xml:space="preserve">) y selecciona el recinto desde </w:t>
      </w:r>
      <w:r>
        <w:rPr>
          <w:rFonts w:ascii="Consolas" w:hAnsi="Consolas"/>
          <w:b w:val="0"/>
          <w:i w:val="0"/>
          <w:sz w:val="16"/>
        </w:rPr>
        <w:t>Cat_Recintos</w:t>
      </w:r>
      <w:r>
        <w:t xml:space="preserve"> y el proceso desde </w:t>
      </w:r>
      <w:r>
        <w:rPr>
          <w:rFonts w:ascii="Consolas" w:hAnsi="Consolas"/>
          <w:b w:val="0"/>
          <w:i w:val="0"/>
          <w:sz w:val="16"/>
        </w:rPr>
        <w:t>Cat_Alineacion</w:t>
      </w:r>
      <w:r>
        <w:t>; todos los cálculos los ejecuta el motor central sin intervención humana.</w:t>
      </w:r>
    </w:p>
    <w:p>
      <w:r>
        <w:br w:type="page"/>
      </w:r>
    </w:p>
    <w:p>
      <w:pPr>
        <w:pStyle w:val="Heading1"/>
      </w:pPr>
      <w:r>
        <w:rPr>
          <w:b w:val="0"/>
          <w:i w:val="0"/>
        </w:rPr>
        <w:t>Dirección General del Forum Cultural Guanajuato (Complejo Cultural)</w:t>
      </w:r>
    </w:p>
    <w:p>
      <w:r>
        <w:rPr>
          <w:b w:val="0"/>
          <w:i w:val="0"/>
        </w:rPr>
        <w:br/>
        <w:br/>
        <w:t xml:space="preserve">        Gestiona el complejo cultural de mayor infraestructura del Estado (Teatro del Bicentenario Roberto Plasencia Saldaña, Auditorio Mateo Herrera, Museo de Arte e Historia de Guanajuato, Calzada de las Artes), alimentando con alta precisión los </w:t>
      </w:r>
      <w:r>
        <w:rPr>
          <w:b/>
          <w:i w:val="0"/>
        </w:rPr>
        <w:t>Indicadores 8 (Nuevas producciones), 13 (Participación de jóvenes) y 11 (Oferta cultural presencial y virtual)</w:t>
      </w:r>
      <w:r>
        <w:rPr>
          <w:b w:val="0"/>
          <w:i w:val="0"/>
        </w:rPr>
        <w:t xml:space="preserve">. Se clasifica con una </w:t>
      </w:r>
      <w:r>
        <w:rPr>
          <w:b/>
          <w:i w:val="0"/>
        </w:rPr>
        <w:t>Madurez Digital Alta (Estándar de Calidad Potencial)</w:t>
      </w:r>
      <w:r>
        <w:rPr>
          <w:b w:val="0"/>
          <w:i w:val="0"/>
        </w:rPr>
        <w:t xml:space="preserve"> al contar con excelente desglose demográfico por recinto, pero afectada por procesos manuales de consolidación y entrega de cartelera en formatos visuales.</w:t>
        <w:br/>
        <w:br/>
        <w:t xml:space="preserve">      </w:t>
      </w:r>
    </w:p>
    <w:p>
      <w:pPr>
        <w:pStyle w:val="ListBullet"/>
        <w:ind w:left="0"/>
      </w:pPr>
      <w:r>
        <w:rPr>
          <w:sz w:val="18"/>
        </w:rPr>
        <w:br/>
        <w:br/>
        <w:t xml:space="preserve">          </w:t>
      </w:r>
      <w:r>
        <w:rPr>
          <w:b/>
          <w:i w:val="0"/>
        </w:rPr>
        <w:t>A. Granularidad de datos frente a consolidación manual y formatos PowerPoint:</w:t>
      </w:r>
      <w:r>
        <w:br/>
        <w:br/>
        <w:t xml:space="preserve">          </w:t>
      </w:r>
      <w:r>
        <w:br/>
        <w:br/>
        <w:t xml:space="preserve">        </w:t>
      </w:r>
    </w:p>
    <w:p>
      <w:pPr>
        <w:pStyle w:val="ListBullet"/>
        <w:ind w:left="317"/>
      </w:pPr>
      <w:r>
        <w:rPr>
          <w:b/>
          <w:i w:val="0"/>
        </w:rPr>
        <w:t>Estado actual:</w:t>
      </w:r>
      <w:r>
        <w:t xml:space="preserve"> Reportan matrices detalladas en Excel (</w:t>
      </w:r>
      <w:r>
        <w:rPr>
          <w:rFonts w:ascii="Consolas" w:hAnsi="Consolas"/>
          <w:b w:val="0"/>
          <w:i w:val="0"/>
          <w:sz w:val="16"/>
        </w:rPr>
        <w:t>.xlsx</w:t>
      </w:r>
      <w:r>
        <w:t>) por espacio y perfil demográfico, mientras que el Programa Mensual de Actividades se entrega en presentación PowerPoint (</w:t>
      </w:r>
      <w:r>
        <w:rPr>
          <w:rFonts w:ascii="Consolas" w:hAnsi="Consolas"/>
          <w:b w:val="0"/>
          <w:i w:val="0"/>
          <w:sz w:val="16"/>
        </w:rPr>
        <w:t>.pptx</w:t>
      </w:r>
      <w:r>
        <w:t>).</w:t>
      </w:r>
    </w:p>
    <w:p>
      <w:pPr>
        <w:pStyle w:val="ListBullet"/>
        <w:ind w:left="317"/>
      </w:pPr>
      <w:r>
        <w:rPr>
          <w:b/>
          <w:i w:val="0"/>
        </w:rPr>
        <w:t>La barrera crítica:</w:t>
      </w:r>
      <w:r>
        <w:t xml:space="preserve"> Pese a la riqueza de su información en origen, </w:t>
      </w:r>
      <w:r>
        <w:rPr>
          <w:b w:val="0"/>
          <w:i/>
        </w:rPr>
        <w:t>"la captura se realiza manualmente y se pasa a una matriz de concentrado general"</w:t>
      </w:r>
      <w:r>
        <w:t xml:space="preserve">, y la cartelera mensual se entrega como una </w:t>
      </w:r>
      <w:r>
        <w:rPr>
          <w:b w:val="0"/>
          <w:i/>
        </w:rPr>
        <w:t>"presentación integral en diapositivas"</w:t>
      </w:r>
      <w:r>
        <w:t xml:space="preserve"> no tabular.</w:t>
      </w:r>
    </w:p>
    <w:p>
      <w:pPr>
        <w:pStyle w:val="ListBullet"/>
        <w:ind w:left="317"/>
      </w:pPr>
      <w:r>
        <w:rPr>
          <w:b/>
          <w:i w:val="0"/>
        </w:rPr>
        <w:t>Impacto técnico:</w:t>
      </w:r>
      <w:r>
        <w:t xml:space="preserve"> El archivo </w:t>
      </w:r>
      <w:r>
        <w:rPr>
          <w:rFonts w:ascii="Consolas" w:hAnsi="Consolas"/>
          <w:b w:val="0"/>
          <w:i w:val="0"/>
          <w:sz w:val="16"/>
        </w:rPr>
        <w:t>.pptx</w:t>
      </w:r>
      <w:r>
        <w:t xml:space="preserve"> es un formato de visualización humana, no de transmisión de datos estructurados, obligando a recapturar manualmente las funciones y producciones en la base central.</w:t>
      </w:r>
    </w:p>
    <w:p>
      <w:pPr>
        <w:pStyle w:val="ListBullet"/>
        <w:ind w:left="0"/>
      </w:pPr>
      <w:r>
        <w:rPr>
          <w:sz w:val="18"/>
        </w:rPr>
        <w:br/>
        <w:br/>
        <w:t xml:space="preserve">          </w:t>
      </w:r>
      <w:r>
        <w:rPr>
          <w:b/>
          <w:i w:val="0"/>
        </w:rPr>
        <w:t>B. Recomendaciones y Solución PULSO Q vinculada a las 99 Metas y 34 Procesos:</w:t>
      </w:r>
      <w:r>
        <w:br/>
        <w:br/>
        <w:t xml:space="preserve">          </w:t>
      </w:r>
      <w:r>
        <w:br/>
        <w:br/>
        <w:t xml:space="preserve">        </w:t>
      </w:r>
    </w:p>
    <w:p>
      <w:pPr>
        <w:pStyle w:val="ListBullet"/>
        <w:ind w:left="317"/>
      </w:pPr>
      <w:r>
        <w:rPr>
          <w:b/>
          <w:i w:val="0"/>
        </w:rPr>
        <w:t>1. Carga distribuida directa por responsable de recinto:</w:t>
      </w:r>
      <w:r>
        <w:t xml:space="preserve"> Sustitución del concentrado manual mensual por el registro directo de cada recinto del Forum en </w:t>
      </w:r>
      <w:r>
        <w:rPr>
          <w:rFonts w:ascii="Consolas" w:hAnsi="Consolas"/>
          <w:b w:val="0"/>
          <w:i w:val="0"/>
          <w:sz w:val="16"/>
        </w:rPr>
        <w:t>Registro_Actividades</w:t>
      </w:r>
      <w:r>
        <w:t xml:space="preserve"> al cierre de cada evento, clasificando automáticamente la modalidad (</w:t>
      </w:r>
      <w:r>
        <w:rPr>
          <w:rFonts w:ascii="Consolas" w:hAnsi="Consolas"/>
          <w:b w:val="0"/>
          <w:i w:val="0"/>
          <w:sz w:val="16"/>
        </w:rPr>
        <w:t>Presencial</w:t>
      </w:r>
      <w:r>
        <w:t xml:space="preserve">, </w:t>
      </w:r>
      <w:r>
        <w:rPr>
          <w:rFonts w:ascii="Consolas" w:hAnsi="Consolas"/>
          <w:b w:val="0"/>
          <w:i w:val="0"/>
          <w:sz w:val="16"/>
        </w:rPr>
        <w:t>Virtual</w:t>
      </w:r>
      <w:r>
        <w:t xml:space="preserve"> o </w:t>
      </w:r>
      <w:r>
        <w:rPr>
          <w:rFonts w:ascii="Consolas" w:hAnsi="Consolas"/>
          <w:b w:val="0"/>
          <w:i w:val="0"/>
          <w:sz w:val="16"/>
        </w:rPr>
        <w:t>Híbrido</w:t>
      </w:r>
      <w:r>
        <w:t xml:space="preserve"> en </w:t>
      </w:r>
      <w:r>
        <w:rPr>
          <w:rFonts w:ascii="Consolas" w:hAnsi="Consolas"/>
          <w:b w:val="0"/>
          <w:i w:val="0"/>
          <w:sz w:val="16"/>
        </w:rPr>
        <w:t>Cat_Formato</w:t>
      </w:r>
      <w:r>
        <w:t xml:space="preserve">) y asignando un </w:t>
      </w:r>
      <w:r>
        <w:rPr>
          <w:rFonts w:ascii="Consolas" w:hAnsi="Consolas"/>
          <w:b w:val="0"/>
          <w:i w:val="0"/>
          <w:sz w:val="16"/>
        </w:rPr>
        <w:t>ID_Actividad</w:t>
      </w:r>
      <w:r>
        <w:t xml:space="preserve"> único a cada nueva producción escénica.</w:t>
      </w:r>
    </w:p>
    <w:p>
      <w:r>
        <w:br w:type="page"/>
      </w:r>
    </w:p>
    <w:p>
      <w:pPr>
        <w:pStyle w:val="Heading1"/>
      </w:pPr>
      <w:r>
        <w:rPr>
          <w:b w:val="0"/>
          <w:i w:val="0"/>
        </w:rPr>
        <w:t>Dirección General Editorial y de Publicaciones (Producción Editorial y Fomento Lector)</w:t>
      </w:r>
    </w:p>
    <w:p>
      <w:r>
        <w:rPr>
          <w:b w:val="0"/>
          <w:i w:val="0"/>
        </w:rPr>
        <w:br/>
        <w:br/>
        <w:t xml:space="preserve">        Gestiona la producción editorial del Estado (Ediciones La Rana), la distribución de acervos y las ferias del libro, alimentando los </w:t>
      </w:r>
      <w:r>
        <w:rPr>
          <w:b/>
          <w:i w:val="0"/>
        </w:rPr>
        <w:t>Indicadores 5 (Comercialización de bienes culturales), 8 (Nuevas producciones editoriales), 9 (Circulación fuera del territorio estatal) y 10 (Estímulos públicos)</w:t>
      </w:r>
      <w:r>
        <w:rPr>
          <w:b w:val="0"/>
          <w:i w:val="0"/>
        </w:rPr>
        <w:t xml:space="preserve">. Presenta una </w:t>
      </w:r>
      <w:r>
        <w:rPr>
          <w:b/>
          <w:i w:val="0"/>
        </w:rPr>
        <w:t>Madurez Digital Media con Riesgo Operativo Alto</w:t>
      </w:r>
      <w:r>
        <w:rPr>
          <w:b w:val="0"/>
          <w:i w:val="0"/>
        </w:rPr>
        <w:t xml:space="preserve"> derivado de la edición concurrente sin control de gobernanza sobre hojas compartidas.</w:t>
        <w:br/>
        <w:br/>
        <w:t xml:space="preserve">      </w:t>
      </w:r>
    </w:p>
    <w:p>
      <w:pPr>
        <w:pStyle w:val="ListBullet"/>
        <w:ind w:left="0"/>
      </w:pPr>
      <w:r>
        <w:rPr>
          <w:sz w:val="18"/>
        </w:rPr>
        <w:br/>
        <w:br/>
        <w:t xml:space="preserve">          </w:t>
      </w:r>
      <w:r>
        <w:rPr>
          <w:b/>
          <w:i w:val="0"/>
        </w:rPr>
        <w:t>A. Vulnerabilidad por edición simultánea sin control y catálogos estáticos en PDF:</w:t>
      </w:r>
      <w:r>
        <w:br/>
        <w:br/>
        <w:t xml:space="preserve">          </w:t>
      </w:r>
      <w:r>
        <w:br/>
        <w:br/>
        <w:t xml:space="preserve">        </w:t>
      </w:r>
    </w:p>
    <w:p>
      <w:pPr>
        <w:pStyle w:val="ListBullet"/>
        <w:ind w:left="317"/>
      </w:pPr>
      <w:r>
        <w:rPr>
          <w:b/>
          <w:i w:val="0"/>
        </w:rPr>
        <w:t>Estado actual:</w:t>
      </w:r>
      <w:r>
        <w:t xml:space="preserve"> Múltiples usuarios editan simultáneamente las mismas hojas de cálculo en Google Drive (convocatorias, ventas, inventarios), y el Catálogo de Publicaciones se gestiona como un archivo </w:t>
      </w:r>
      <w:r>
        <w:rPr>
          <w:rFonts w:ascii="Consolas" w:hAnsi="Consolas"/>
          <w:b w:val="0"/>
          <w:i w:val="0"/>
          <w:sz w:val="16"/>
        </w:rPr>
        <w:t>.pdf</w:t>
      </w:r>
      <w:r>
        <w:t xml:space="preserve"> semestral.</w:t>
      </w:r>
    </w:p>
    <w:p>
      <w:pPr>
        <w:pStyle w:val="ListBullet"/>
        <w:ind w:left="317"/>
      </w:pPr>
      <w:r>
        <w:rPr>
          <w:b/>
          <w:i w:val="0"/>
        </w:rPr>
        <w:t>La barrera crítica:</w:t>
      </w:r>
      <w:r>
        <w:t xml:space="preserve"> La matriz advierte reiteradamente que </w:t>
      </w:r>
      <w:r>
        <w:rPr>
          <w:b w:val="0"/>
          <w:i/>
        </w:rPr>
        <w:t>"la captura es realizada por distintos integrantes de la dirección, por lo que el margen de error es mayor"</w:t>
      </w:r>
      <w:r>
        <w:t xml:space="preserve"> (borrado accidental de filas, alteración de estructura), aunado a la imposibilidad de procesar estadísticamente un catálogo encerrado en PDF.</w:t>
      </w:r>
    </w:p>
    <w:p>
      <w:pPr>
        <w:pStyle w:val="ListBullet"/>
        <w:ind w:left="317"/>
      </w:pPr>
      <w:r>
        <w:rPr>
          <w:b/>
          <w:i w:val="0"/>
        </w:rPr>
        <w:t>Impacto técnico:</w:t>
      </w:r>
      <w:r>
        <w:t xml:space="preserve"> Inestabilidad estructural de la fuente de datos y desfase permanente entre el </w:t>
      </w:r>
      <w:r>
        <w:rPr>
          <w:b w:val="0"/>
          <w:i/>
        </w:rPr>
        <w:t>Stock Teórico</w:t>
      </w:r>
      <w:r>
        <w:t xml:space="preserve"> (Excel) y el </w:t>
      </w:r>
      <w:r>
        <w:rPr>
          <w:b w:val="0"/>
          <w:i/>
        </w:rPr>
        <w:t>Stock Físico</w:t>
      </w:r>
      <w:r>
        <w:t xml:space="preserve"> (Almacén).</w:t>
      </w:r>
    </w:p>
    <w:p>
      <w:pPr>
        <w:pStyle w:val="ListBullet"/>
        <w:ind w:left="0"/>
      </w:pPr>
      <w:r>
        <w:rPr>
          <w:sz w:val="18"/>
        </w:rPr>
        <w:br/>
        <w:br/>
        <w:t xml:space="preserve">          </w:t>
      </w:r>
      <w:r>
        <w:rPr>
          <w:b/>
          <w:i w:val="0"/>
        </w:rPr>
        <w:t>B. Recomendaciones y Solución PULSO Q vinculada a las 99 Metas y 34 Procesos:</w:t>
      </w:r>
      <w:r>
        <w:br/>
        <w:br/>
        <w:t xml:space="preserve">          </w:t>
      </w:r>
      <w:r>
        <w:br/>
        <w:br/>
        <w:t xml:space="preserve">        </w:t>
      </w:r>
    </w:p>
    <w:p>
      <w:pPr>
        <w:pStyle w:val="ListBullet"/>
        <w:ind w:left="317"/>
      </w:pPr>
      <w:r>
        <w:rPr>
          <w:b/>
          <w:i w:val="0"/>
        </w:rPr>
        <w:t>1. Gobernanza transaccional con sello de usuario (</w:t>
      </w:r>
      <w:r>
        <w:rPr>
          <w:rFonts w:ascii="Consolas" w:hAnsi="Consolas"/>
          <w:b/>
          <w:i w:val="0"/>
          <w:sz w:val="16"/>
        </w:rPr>
        <w:t>Usuario_Registra</w:t>
      </w:r>
      <w:r>
        <w:rPr>
          <w:b/>
          <w:i w:val="0"/>
        </w:rPr>
        <w:t>):</w:t>
      </w:r>
      <w:r>
        <w:t xml:space="preserve"> Bloqueo de la estructura de columnas en </w:t>
      </w:r>
      <w:r>
        <w:rPr>
          <w:rFonts w:ascii="Consolas" w:hAnsi="Consolas"/>
          <w:b w:val="0"/>
          <w:i w:val="0"/>
          <w:sz w:val="16"/>
        </w:rPr>
        <w:t>DB_Sistema_Cultura_GTO_V1</w:t>
      </w:r>
      <w:r>
        <w:t xml:space="preserve"> y captura mediante formulario donde cada integrante ingresa registros nuevos con su correo institucional sin poder alterar ni borrar filas históricas.</w:t>
      </w:r>
    </w:p>
    <w:p>
      <w:pPr>
        <w:pStyle w:val="ListBullet"/>
        <w:ind w:left="317"/>
      </w:pPr>
      <w:r>
        <w:rPr>
          <w:b/>
          <w:i w:val="0"/>
        </w:rPr>
        <w:t>2. Trazabilidad de ingresos y circulación nacional (Indicadores 5 y 9):</w:t>
      </w:r>
      <w:r>
        <w:t xml:space="preserve"> Registro estructurado de ingresos por ventas en el atributo </w:t>
      </w:r>
      <w:r>
        <w:rPr>
          <w:rFonts w:ascii="Consolas" w:hAnsi="Consolas"/>
          <w:b w:val="0"/>
          <w:i w:val="0"/>
          <w:sz w:val="16"/>
        </w:rPr>
        <w:t>Monto_Ingreso</w:t>
      </w:r>
      <w:r>
        <w:t xml:space="preserve"> y registro de sedes foráneas nacionales (por ejemplo, ferias en </w:t>
      </w:r>
      <w:r>
        <w:rPr>
          <w:b w:val="0"/>
          <w:i/>
        </w:rPr>
        <w:t>Ciudad de México</w:t>
      </w:r>
      <w:r>
        <w:t>) en un catálogo independiente de ubicaciones externas.</w:t>
      </w:r>
    </w:p>
    <w:p>
      <w:r>
        <w:br w:type="page"/>
      </w:r>
    </w:p>
    <w:p>
      <w:pPr>
        <w:pStyle w:val="Heading1"/>
      </w:pPr>
      <w:r>
        <w:rPr>
          <w:b w:val="0"/>
          <w:i w:val="0"/>
        </w:rPr>
        <w:t>Dirección General de Formación e Investigación (CEARG y Profesionalización Artística)</w:t>
      </w:r>
    </w:p>
    <w:p>
      <w:r>
        <w:rPr>
          <w:b w:val="0"/>
          <w:i w:val="0"/>
        </w:rPr>
        <w:br/>
        <w:br/>
        <w:t xml:space="preserve">        Responsable de los procesos académicos, de investigación y del Centro de las Artes de Guanajuato (CEARG), alimentando los </w:t>
      </w:r>
      <w:r>
        <w:rPr>
          <w:b/>
          <w:i w:val="0"/>
        </w:rPr>
        <w:t>Indicadores 2 (Oferta de formación y profesionalización), 1 (Grupos prioritarios) y 11 (Oferta cultural)</w:t>
      </w:r>
      <w:r>
        <w:rPr>
          <w:b w:val="0"/>
          <w:i w:val="0"/>
        </w:rPr>
        <w:t xml:space="preserve">. Presenta una </w:t>
      </w:r>
      <w:r>
        <w:rPr>
          <w:b/>
          <w:i w:val="0"/>
        </w:rPr>
        <w:t>Madurez Digital Alta en Metodología pero Baja en Infraestructura Física</w:t>
      </w:r>
      <w:r>
        <w:rPr>
          <w:b w:val="0"/>
          <w:i w:val="0"/>
        </w:rPr>
        <w:t>: es el referente interno en el uso de formularios web (Google Forms), pero enfrenta carencias de equipos de cómputo en sus sedes operativas.</w:t>
        <w:br/>
        <w:br/>
        <w:t xml:space="preserve">      </w:t>
      </w:r>
    </w:p>
    <w:p>
      <w:pPr>
        <w:pStyle w:val="ListBullet"/>
        <w:ind w:left="0"/>
      </w:pPr>
      <w:r>
        <w:rPr>
          <w:sz w:val="18"/>
        </w:rPr>
        <w:br/>
        <w:br/>
        <w:t xml:space="preserve">          </w:t>
      </w:r>
      <w:r>
        <w:rPr>
          <w:b/>
          <w:i w:val="0"/>
        </w:rPr>
        <w:t>A. Adopción de formularios web bloqueada por déficit de equipo de cómputo y duplicidad longitudinal:</w:t>
      </w:r>
      <w:r>
        <w:br/>
        <w:br/>
        <w:t xml:space="preserve">          </w:t>
      </w:r>
      <w:r>
        <w:br/>
        <w:br/>
        <w:t xml:space="preserve">        </w:t>
      </w:r>
    </w:p>
    <w:p>
      <w:pPr>
        <w:pStyle w:val="ListBullet"/>
        <w:ind w:left="317"/>
      </w:pPr>
      <w:r>
        <w:rPr>
          <w:b/>
          <w:i w:val="0"/>
        </w:rPr>
        <w:t>Estado actual:</w:t>
      </w:r>
      <w:r>
        <w:t xml:space="preserve"> Utilizan formularios web (Google Forms) para el reporte de talleres y diplomados, pero reportan en 5 de sus 6 fuentes primarias </w:t>
      </w:r>
      <w:r>
        <w:rPr>
          <w:b w:val="0"/>
          <w:i/>
        </w:rPr>
        <w:t>"falta de personal y equipo de cómputo"</w:t>
      </w:r>
      <w:r>
        <w:t xml:space="preserve">, además de la necesidad de </w:t>
      </w:r>
      <w:r>
        <w:rPr>
          <w:b w:val="0"/>
          <w:i/>
        </w:rPr>
        <w:t>"estandarizar y corregir duplicados en el registro de personas"</w:t>
      </w:r>
      <w:r>
        <w:t>.</w:t>
      </w:r>
    </w:p>
    <w:p>
      <w:pPr>
        <w:pStyle w:val="ListBullet"/>
        <w:ind w:left="317"/>
      </w:pPr>
      <w:r>
        <w:rPr>
          <w:b/>
          <w:i w:val="0"/>
        </w:rPr>
        <w:t>La barrera crítica:</w:t>
      </w:r>
      <w:r>
        <w:t xml:space="preserve"> Carencia de computadoras de escritorio en aulas y sedes para capturar en sitio, y riesgo de inflación estadística en agrupaciones artísticas (bandas, orquestas, diplomados) donde un mismo alumno asiste a múltiples ensayos al mes.</w:t>
      </w:r>
    </w:p>
    <w:p>
      <w:pPr>
        <w:pStyle w:val="ListBullet"/>
        <w:ind w:left="317"/>
      </w:pPr>
      <w:r>
        <w:rPr>
          <w:b/>
          <w:i w:val="0"/>
        </w:rPr>
        <w:t>Impacto técnico:</w:t>
      </w:r>
      <w:r>
        <w:t xml:space="preserve"> Cuello de botella logístico en la entrega de informes y sobreestimación de beneficiarios si se contabilizan asistencias por ensayo en lugar de alumnos únicos formados.</w:t>
      </w:r>
    </w:p>
    <w:p>
      <w:pPr>
        <w:pStyle w:val="ListBullet"/>
        <w:ind w:left="0"/>
      </w:pPr>
      <w:r>
        <w:rPr>
          <w:sz w:val="18"/>
        </w:rPr>
        <w:br/>
        <w:br/>
        <w:t xml:space="preserve">          </w:t>
      </w:r>
      <w:r>
        <w:rPr>
          <w:b/>
          <w:i w:val="0"/>
        </w:rPr>
        <w:t>B. Recomendaciones y Solución PULSO Q vinculada a las 99 Metas y 34 Procesos:</w:t>
      </w:r>
      <w:r>
        <w:br/>
        <w:br/>
        <w:t xml:space="preserve">          </w:t>
      </w:r>
      <w:r>
        <w:br/>
        <w:br/>
        <w:t xml:space="preserve">        </w:t>
      </w:r>
    </w:p>
    <w:p>
      <w:pPr>
        <w:pStyle w:val="ListBullet"/>
        <w:ind w:left="317"/>
      </w:pPr>
      <w:r>
        <w:rPr>
          <w:b/>
          <w:i w:val="0"/>
        </w:rPr>
        <w:t>1. Captura móvil responsiva en teléfonos de instructores y coordinadores:</w:t>
      </w:r>
      <w:r>
        <w:t xml:space="preserve"> Aprovechamiento de la interfaz móvil de AppSheet / Formularios Web mediante enlaces directos y códigos QR para que los docentes registren desde sus dispositivos móviles sin depender de computadoras de escritorio.</w:t>
      </w:r>
    </w:p>
    <w:p>
      <w:pPr>
        <w:pStyle w:val="ListBullet"/>
        <w:ind w:left="317"/>
      </w:pPr>
      <w:r>
        <w:rPr>
          <w:b/>
          <w:i w:val="0"/>
        </w:rPr>
        <w:t xml:space="preserve">2. Parametrización específica de formación en </w:t>
      </w:r>
      <w:r>
        <w:rPr>
          <w:rFonts w:ascii="Consolas" w:hAnsi="Consolas"/>
          <w:b/>
          <w:i w:val="0"/>
          <w:sz w:val="16"/>
        </w:rPr>
        <w:t>Cat_Actividades</w:t>
      </w:r>
      <w:r>
        <w:rPr>
          <w:b/>
          <w:i w:val="0"/>
        </w:rPr>
        <w:t>:</w:t>
      </w:r>
      <w:r>
        <w:t xml:space="preserve"> Uso obligatorio de los campos </w:t>
      </w:r>
      <w:r>
        <w:rPr>
          <w:rFonts w:ascii="Consolas" w:hAnsi="Consolas"/>
          <w:b w:val="0"/>
          <w:i w:val="0"/>
          <w:sz w:val="16"/>
        </w:rPr>
        <w:t>Tipo_Proceso_Formacion</w:t>
      </w:r>
      <w:r>
        <w:t xml:space="preserve"> y </w:t>
      </w:r>
      <w:r>
        <w:rPr>
          <w:rFonts w:ascii="Consolas" w:hAnsi="Consolas"/>
          <w:b w:val="0"/>
          <w:i w:val="0"/>
          <w:sz w:val="16"/>
        </w:rPr>
        <w:t>Tipo_Oferta_Formacion</w:t>
      </w:r>
      <w:r>
        <w:t xml:space="preserve">, registrando el número de clases o ensayos en </w:t>
      </w:r>
      <w:r>
        <w:rPr>
          <w:rFonts w:ascii="Consolas" w:hAnsi="Consolas"/>
          <w:b w:val="0"/>
          <w:i w:val="0"/>
          <w:sz w:val="16"/>
        </w:rPr>
        <w:t>Total_Sesiones</w:t>
      </w:r>
      <w:r>
        <w:t xml:space="preserve"> y la matrícula real de alumnos únicos en </w:t>
      </w:r>
      <w:r>
        <w:rPr>
          <w:rFonts w:ascii="Consolas" w:hAnsi="Consolas"/>
          <w:b w:val="0"/>
          <w:i w:val="0"/>
          <w:sz w:val="16"/>
        </w:rPr>
        <w:t>Cantidad_Participacion</w:t>
      </w:r>
      <w:r>
        <w:t>.</w:t>
      </w:r>
    </w:p>
    <w:p>
      <w:pPr>
        <w:pStyle w:val="Heading1"/>
      </w:pPr>
      <w:r>
        <w:rPr>
          <w:b w:val="0"/>
          <w:i w:val="0"/>
        </w:rPr>
        <w:t>Anexos técnicos</w:t>
      </w:r>
    </w:p>
    <w:p>
      <w:pPr>
        <w:pStyle w:val="Heading1"/>
      </w:pPr>
      <w:r>
        <w:rPr>
          <w:b w:val="0"/>
          <w:i w:val="0"/>
        </w:rPr>
        <w:t>Anexo A. Matriz maestra de fuentes, responsables, variables, duplicidades y vacíos</w:t>
      </w:r>
    </w:p>
    <w:p>
      <w:r>
        <w:rPr>
          <w:b w:val="0"/>
          <w:i w:val="0"/>
        </w:rPr>
        <w:br/>
        <w:br/>
        <w:t xml:space="preserve">      Conforme al alcance del Entregable 1 establecido en la propuesta técnica, se presenta la matriz maestra resultante del levantamiento técnico en las </w:t>
      </w:r>
      <w:r>
        <w:rPr>
          <w:b/>
          <w:i w:val="0"/>
        </w:rPr>
        <w:t>8 Unidades Generadoras de Información</w:t>
      </w:r>
      <w:r>
        <w:rPr>
          <w:b w:val="0"/>
          <w:i w:val="0"/>
        </w:rPr>
        <w:t xml:space="preserve"> de la Secretaría de Cultura del Estado de Guanajuato, identificando sus fuentes primarias, bases de datos, registros, responsables, periodicidad, variables disponibles, duplicidades y vacíos de información frente al seguimiento de las </w:t>
      </w:r>
      <w:r>
        <w:rPr>
          <w:b/>
          <w:i w:val="0"/>
        </w:rPr>
        <w:t>99 metas institucionales (</w:t>
      </w:r>
      <w:r>
        <w:rPr>
          <w:rFonts w:ascii="Consolas" w:hAnsi="Consolas"/>
          <w:b/>
          <w:i w:val="0"/>
          <w:sz w:val="16"/>
        </w:rPr>
        <w:t>Cat_Alineacion</w:t>
      </w:r>
      <w:r>
        <w:rPr>
          <w:b/>
          <w:i w:val="0"/>
        </w:rPr>
        <w:t>)</w:t>
      </w:r>
      <w:r>
        <w:rPr>
          <w:b w:val="0"/>
          <w:i w:val="0"/>
        </w:rPr>
        <w:t xml:space="preserve"> y los </w:t>
      </w:r>
      <w:r>
        <w:rPr>
          <w:b/>
          <w:i w:val="0"/>
        </w:rPr>
        <w:t>34 procesos presupuestales</w:t>
      </w:r>
      <w:r>
        <w:rPr>
          <w:b w:val="0"/>
          <w:i w:val="0"/>
        </w:rPr>
        <w:t>:</w:t>
        <w:br/>
        <w:br/>
        <w:t xml:space="preserve">    </w:t>
      </w: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gridCol w:w="1493"/>
      </w:tblGrid>
      <w:tr>
        <w:tc>
          <w:tcPr>
            <w:tcW w:type="dxa" w:w="1493"/>
            <w:vAlign w:val="center"/>
            <w:shd w:fill="004B87"/>
          </w:tcPr>
          <w:p>
            <w:pPr>
              <w:spacing w:after="20"/>
            </w:pPr>
            <w:r>
              <w:rPr>
                <w:rFonts w:ascii="Helvetica Neue" w:hAnsi="Helvetica Neue"/>
                <w:b/>
                <w:color w:val="FFFFFF"/>
                <w:sz w:val="14"/>
              </w:rPr>
              <w:t>N°</w:t>
            </w:r>
          </w:p>
        </w:tc>
        <w:tc>
          <w:tcPr>
            <w:tcW w:type="dxa" w:w="1493"/>
            <w:vAlign w:val="center"/>
            <w:shd w:fill="004B87"/>
          </w:tcPr>
          <w:p>
            <w:pPr>
              <w:spacing w:after="20"/>
            </w:pPr>
            <w:r>
              <w:rPr>
                <w:rFonts w:ascii="Helvetica Neue" w:hAnsi="Helvetica Neue"/>
                <w:b/>
                <w:color w:val="FFFFFF"/>
                <w:sz w:val="14"/>
              </w:rPr>
              <w:t>Unidad Generadora / Área Operativa</w:t>
            </w:r>
          </w:p>
        </w:tc>
        <w:tc>
          <w:tcPr>
            <w:tcW w:type="dxa" w:w="1493"/>
            <w:vAlign w:val="center"/>
            <w:shd w:fill="004B87"/>
          </w:tcPr>
          <w:p>
            <w:pPr>
              <w:spacing w:after="20"/>
            </w:pPr>
            <w:r>
              <w:rPr>
                <w:rFonts w:ascii="Helvetica Neue" w:hAnsi="Helvetica Neue"/>
                <w:b/>
                <w:color w:val="FFFFFF"/>
                <w:sz w:val="14"/>
              </w:rPr>
              <w:t>Fuentes, Bases de Datos y Registros</w:t>
            </w:r>
          </w:p>
        </w:tc>
        <w:tc>
          <w:tcPr>
            <w:tcW w:type="dxa" w:w="1493"/>
            <w:vAlign w:val="center"/>
            <w:shd w:fill="004B87"/>
          </w:tcPr>
          <w:p>
            <w:pPr>
              <w:spacing w:after="20"/>
            </w:pPr>
            <w:r>
              <w:rPr>
                <w:rFonts w:ascii="Helvetica Neue" w:hAnsi="Helvetica Neue"/>
                <w:b/>
                <w:color w:val="FFFFFF"/>
                <w:sz w:val="14"/>
              </w:rPr>
              <w:t>Responsables y Periodicidad</w:t>
            </w:r>
          </w:p>
        </w:tc>
        <w:tc>
          <w:tcPr>
            <w:tcW w:type="dxa" w:w="1493"/>
            <w:vAlign w:val="center"/>
            <w:shd w:fill="004B87"/>
          </w:tcPr>
          <w:p>
            <w:pPr>
              <w:spacing w:after="20"/>
            </w:pPr>
            <w:r>
              <w:rPr>
                <w:rFonts w:ascii="Helvetica Neue" w:hAnsi="Helvetica Neue"/>
                <w:b/>
                <w:color w:val="FFFFFF"/>
                <w:sz w:val="14"/>
              </w:rPr>
              <w:t>Variables Disponibles en Origen</w:t>
            </w:r>
          </w:p>
        </w:tc>
        <w:tc>
          <w:tcPr>
            <w:tcW w:type="dxa" w:w="1493"/>
            <w:vAlign w:val="center"/>
            <w:shd w:fill="004B87"/>
          </w:tcPr>
          <w:p>
            <w:pPr>
              <w:spacing w:after="20"/>
            </w:pPr>
            <w:r>
              <w:rPr>
                <w:rFonts w:ascii="Helvetica Neue" w:hAnsi="Helvetica Neue"/>
                <w:b/>
                <w:color w:val="FFFFFF"/>
                <w:sz w:val="14"/>
              </w:rPr>
              <w:t>Duplicidades Detectadas</w:t>
            </w:r>
          </w:p>
        </w:tc>
        <w:tc>
          <w:tcPr>
            <w:tcW w:type="dxa" w:w="1493"/>
            <w:vAlign w:val="center"/>
            <w:shd w:fill="004B87"/>
          </w:tcPr>
          <w:p>
            <w:pPr>
              <w:spacing w:after="20"/>
            </w:pPr>
            <w:r>
              <w:rPr>
                <w:rFonts w:ascii="Helvetica Neue" w:hAnsi="Helvetica Neue"/>
                <w:b/>
                <w:color w:val="FFFFFF"/>
                <w:sz w:val="14"/>
              </w:rPr>
              <w:t>Vacíos de Información y Necesidad de Sistematización</w:t>
            </w:r>
          </w:p>
        </w:tc>
      </w:tr>
      <w:tr>
        <w:tc>
          <w:tcPr>
            <w:tcW w:type="dxa" w:w="1493"/>
            <w:vAlign w:val="center"/>
          </w:tcPr>
          <w:p>
            <w:pPr>
              <w:spacing w:after="20"/>
            </w:pPr>
            <w:r>
              <w:rPr>
                <w:rFonts w:ascii="Helvetica Neue" w:hAnsi="Helvetica Neue"/>
                <w:sz w:val="14"/>
              </w:rPr>
              <w:t>01</w:t>
            </w:r>
          </w:p>
        </w:tc>
        <w:tc>
          <w:tcPr>
            <w:tcW w:type="dxa" w:w="1493"/>
            <w:vAlign w:val="center"/>
          </w:tcPr>
          <w:p>
            <w:pPr>
              <w:spacing w:after="20"/>
            </w:pPr>
            <w:r>
              <w:rPr>
                <w:rFonts w:ascii="Helvetica Neue" w:hAnsi="Helvetica Neue"/>
                <w:sz w:val="14"/>
              </w:rPr>
              <w:t>Coordinación de Desarrollo Cultural Municipal</w:t>
            </w:r>
          </w:p>
        </w:tc>
        <w:tc>
          <w:tcPr>
            <w:tcW w:type="dxa" w:w="1493"/>
            <w:vAlign w:val="center"/>
          </w:tcPr>
          <w:p>
            <w:pPr>
              <w:spacing w:after="20"/>
            </w:pPr>
            <w:r>
              <w:rPr>
                <w:rFonts w:ascii="Helvetica Neue" w:hAnsi="Helvetica Neue"/>
                <w:sz w:val="14"/>
              </w:rPr>
              <w:t>• 46 archivos Excel (.xlsx) en Drive.• Expedientes PDF escaneados con firmas y sellos.• Listas de asistencia.</w:t>
            </w:r>
          </w:p>
        </w:tc>
        <w:tc>
          <w:tcPr>
            <w:tcW w:type="dxa" w:w="1493"/>
            <w:vAlign w:val="center"/>
          </w:tcPr>
          <w:p>
            <w:pPr>
              <w:spacing w:after="20"/>
            </w:pPr>
            <w:r>
              <w:rPr>
                <w:rFonts w:ascii="Helvetica Neue" w:hAnsi="Helvetica Neue"/>
                <w:sz w:val="14"/>
              </w:rPr>
              <w:t>Responsables: Titular de Coordinación y 46 Enlaces Municipales.Periodicidad: Mensual (corte días 1–5).</w:t>
            </w:r>
          </w:p>
        </w:tc>
        <w:tc>
          <w:tcPr>
            <w:tcW w:type="dxa" w:w="1493"/>
            <w:vAlign w:val="center"/>
          </w:tcPr>
          <w:p>
            <w:pPr>
              <w:spacing w:after="20"/>
            </w:pPr>
            <w:r>
              <w:rPr>
                <w:rFonts w:ascii="Helvetica Neue" w:hAnsi="Helvetica Neue"/>
                <w:sz w:val="14"/>
              </w:rPr>
              <w:t>Municipio, localidad, fecha, disciplina, taller u oferta cultural, asistencia general, participación de mujeres y monto de subsidio ejercido.</w:t>
            </w:r>
          </w:p>
        </w:tc>
        <w:tc>
          <w:tcPr>
            <w:tcW w:type="dxa" w:w="1493"/>
            <w:vAlign w:val="center"/>
          </w:tcPr>
          <w:p>
            <w:pPr>
              <w:spacing w:after="20"/>
            </w:pPr>
            <w:r>
              <w:rPr>
                <w:rFonts w:ascii="Helvetica Neue" w:hAnsi="Helvetica Neue"/>
                <w:sz w:val="14"/>
              </w:rPr>
              <w:t>• Doble captura manual al copiar y pegar 46 archivos en una matriz concentradora.• Asistencias recurrentes en talleres contadas como personas únicas.</w:t>
            </w:r>
          </w:p>
        </w:tc>
        <w:tc>
          <w:tcPr>
            <w:tcW w:type="dxa" w:w="1493"/>
            <w:vAlign w:val="center"/>
          </w:tcPr>
          <w:p>
            <w:pPr>
              <w:spacing w:after="20"/>
            </w:pPr>
            <w:r>
              <w:rPr>
                <w:rFonts w:ascii="Helvetica Neue" w:hAnsi="Helvetica Neue"/>
                <w:sz w:val="14"/>
              </w:rPr>
              <w:t>• Datos financieros de subsidios encerrados en PDFs escaneados ilegibles.• Falta de clave presupuestal (Clave_Proceso) y marcaje homologado de polígonos ZAP.</w:t>
            </w:r>
          </w:p>
        </w:tc>
      </w:tr>
      <w:tr>
        <w:tc>
          <w:tcPr>
            <w:tcW w:type="dxa" w:w="1493"/>
            <w:vAlign w:val="center"/>
          </w:tcPr>
          <w:p>
            <w:pPr>
              <w:spacing w:after="20"/>
            </w:pPr>
            <w:r>
              <w:rPr>
                <w:rFonts w:ascii="Helvetica Neue" w:hAnsi="Helvetica Neue"/>
                <w:sz w:val="14"/>
              </w:rPr>
              <w:t>02</w:t>
            </w:r>
          </w:p>
        </w:tc>
        <w:tc>
          <w:tcPr>
            <w:tcW w:type="dxa" w:w="1493"/>
            <w:vAlign w:val="center"/>
          </w:tcPr>
          <w:p>
            <w:pPr>
              <w:spacing w:after="20"/>
            </w:pPr>
            <w:r>
              <w:rPr>
                <w:rFonts w:ascii="Helvetica Neue" w:hAnsi="Helvetica Neue"/>
                <w:sz w:val="14"/>
              </w:rPr>
              <w:t>Coordinación de Vinculación y Redes Culturales</w:t>
            </w:r>
          </w:p>
        </w:tc>
        <w:tc>
          <w:tcPr>
            <w:tcW w:type="dxa" w:w="1493"/>
            <w:vAlign w:val="center"/>
          </w:tcPr>
          <w:p>
            <w:pPr>
              <w:spacing w:after="20"/>
            </w:pPr>
            <w:r>
              <w:rPr>
                <w:rFonts w:ascii="Helvetica Neue" w:hAnsi="Helvetica Neue"/>
                <w:sz w:val="14"/>
              </w:rPr>
              <w:t>• Hojas mensuales de proyectos comunitarios en Excel / Drive.• Listas por sesión.• Memorias fotográficas.</w:t>
            </w:r>
          </w:p>
        </w:tc>
        <w:tc>
          <w:tcPr>
            <w:tcW w:type="dxa" w:w="1493"/>
            <w:vAlign w:val="center"/>
          </w:tcPr>
          <w:p>
            <w:pPr>
              <w:spacing w:after="20"/>
            </w:pPr>
            <w:r>
              <w:rPr>
                <w:rFonts w:ascii="Helvetica Neue" w:hAnsi="Helvetica Neue"/>
                <w:sz w:val="14"/>
              </w:rPr>
              <w:t>Responsables: Titular de Coordinación y Gestores Comunitarios.Periodicidad: Semanal por sesión / Mensual.</w:t>
            </w:r>
          </w:p>
        </w:tc>
        <w:tc>
          <w:tcPr>
            <w:tcW w:type="dxa" w:w="1493"/>
            <w:vAlign w:val="center"/>
          </w:tcPr>
          <w:p>
            <w:pPr>
              <w:spacing w:after="20"/>
            </w:pPr>
            <w:r>
              <w:rPr>
                <w:rFonts w:ascii="Helvetica Neue" w:hAnsi="Helvetica Neue"/>
                <w:sz w:val="14"/>
              </w:rPr>
              <w:t>Municipio, comunidad o colonia, nombre del proyecto comunitario, sesiones realizadas, edad, género y grupos prioritarios.</w:t>
            </w:r>
          </w:p>
        </w:tc>
        <w:tc>
          <w:tcPr>
            <w:tcW w:type="dxa" w:w="1493"/>
            <w:vAlign w:val="center"/>
          </w:tcPr>
          <w:p>
            <w:pPr>
              <w:spacing w:after="20"/>
            </w:pPr>
            <w:r>
              <w:rPr>
                <w:rFonts w:ascii="Helvetica Neue" w:hAnsi="Helvetica Neue"/>
                <w:sz w:val="14"/>
              </w:rPr>
              <w:t>• En proyectos comunitarios de 5 o más sesiones al mes, un mismo participante se contabiliza múltiples veces por carecer de identificador único.</w:t>
            </w:r>
          </w:p>
        </w:tc>
        <w:tc>
          <w:tcPr>
            <w:tcW w:type="dxa" w:w="1493"/>
            <w:vAlign w:val="center"/>
          </w:tcPr>
          <w:p>
            <w:pPr>
              <w:spacing w:after="20"/>
            </w:pPr>
            <w:r>
              <w:rPr>
                <w:rFonts w:ascii="Helvetica Neue" w:hAnsi="Helvetica Neue"/>
                <w:sz w:val="14"/>
              </w:rPr>
              <w:t>• Escritura libre de nombres de colonias o comunidades, impidiendo el cruce automático con el catálogo Cat_Comunidades_Limpio (ZAP).</w:t>
            </w:r>
          </w:p>
        </w:tc>
      </w:tr>
      <w:tr>
        <w:tc>
          <w:tcPr>
            <w:tcW w:type="dxa" w:w="1493"/>
            <w:vAlign w:val="center"/>
          </w:tcPr>
          <w:p>
            <w:pPr>
              <w:spacing w:after="20"/>
            </w:pPr>
            <w:r>
              <w:rPr>
                <w:rFonts w:ascii="Helvetica Neue" w:hAnsi="Helvetica Neue"/>
                <w:sz w:val="14"/>
              </w:rPr>
              <w:t>03</w:t>
            </w:r>
          </w:p>
        </w:tc>
        <w:tc>
          <w:tcPr>
            <w:tcW w:type="dxa" w:w="1493"/>
            <w:vAlign w:val="center"/>
          </w:tcPr>
          <w:p>
            <w:pPr>
              <w:spacing w:after="20"/>
            </w:pPr>
            <w:r>
              <w:rPr>
                <w:rFonts w:ascii="Helvetica Neue" w:hAnsi="Helvetica Neue"/>
                <w:sz w:val="14"/>
              </w:rPr>
              <w:t>Dirección General de Patrimonio Cultural</w:t>
            </w:r>
          </w:p>
        </w:tc>
        <w:tc>
          <w:tcPr>
            <w:tcW w:type="dxa" w:w="1493"/>
            <w:vAlign w:val="center"/>
          </w:tcPr>
          <w:p>
            <w:pPr>
              <w:spacing w:after="20"/>
            </w:pPr>
            <w:r>
              <w:rPr>
                <w:rFonts w:ascii="Helvetica Neue" w:hAnsi="Helvetica Neue"/>
                <w:sz w:val="14"/>
              </w:rPr>
              <w:t>• Bitácoras en papel y lápiz en sitio.• Hojas de Excel locales.• Capturas de pantalla de redes sociales.</w:t>
            </w:r>
          </w:p>
        </w:tc>
        <w:tc>
          <w:tcPr>
            <w:tcW w:type="dxa" w:w="1493"/>
            <w:vAlign w:val="center"/>
          </w:tcPr>
          <w:p>
            <w:pPr>
              <w:spacing w:after="20"/>
            </w:pPr>
            <w:r>
              <w:rPr>
                <w:rFonts w:ascii="Helvetica Neue" w:hAnsi="Helvetica Neue"/>
                <w:sz w:val="14"/>
              </w:rPr>
              <w:t>Responsables: Dirección General y Encargados de CAV / Zonas Arqueológicas.Periodicidad: Diaria en papel / Mensual.</w:t>
            </w:r>
          </w:p>
        </w:tc>
        <w:tc>
          <w:tcPr>
            <w:tcW w:type="dxa" w:w="1493"/>
            <w:vAlign w:val="center"/>
          </w:tcPr>
          <w:p>
            <w:pPr>
              <w:spacing w:after="20"/>
            </w:pPr>
            <w:r>
              <w:rPr>
                <w:rFonts w:ascii="Helvetica Neue" w:hAnsi="Helvetica Neue"/>
                <w:sz w:val="14"/>
              </w:rPr>
              <w:t>Zona arqueológica o sitio patrimonial, fecha, conteo global de visitantes en taquilla, desglose básico en papel e interacciones digitales.</w:t>
            </w:r>
          </w:p>
        </w:tc>
        <w:tc>
          <w:tcPr>
            <w:tcW w:type="dxa" w:w="1493"/>
            <w:vAlign w:val="center"/>
          </w:tcPr>
          <w:p>
            <w:pPr>
              <w:spacing w:after="20"/>
            </w:pPr>
            <w:r>
              <w:rPr>
                <w:rFonts w:ascii="Helvetica Neue" w:hAnsi="Helvetica Neue"/>
                <w:sz w:val="14"/>
              </w:rPr>
              <w:t>• Doble transcripción manual (del papel en sitio al Excel local y luego al concentrado central), triplicando el riesgo de error.</w:t>
            </w:r>
          </w:p>
        </w:tc>
        <w:tc>
          <w:tcPr>
            <w:tcW w:type="dxa" w:w="1493"/>
            <w:vAlign w:val="center"/>
          </w:tcPr>
          <w:p>
            <w:pPr>
              <w:spacing w:after="20"/>
            </w:pPr>
            <w:r>
              <w:rPr>
                <w:rFonts w:ascii="Helvetica Neue" w:hAnsi="Helvetica Neue"/>
                <w:sz w:val="14"/>
              </w:rPr>
              <w:t>• Carencia física de internet y energía eléctrica en Centros de Atención a Visitantes (CAV).• Conteo artesanal de métricas digitales mediante capturas de pantalla.</w:t>
            </w:r>
          </w:p>
        </w:tc>
      </w:tr>
      <w:tr>
        <w:tc>
          <w:tcPr>
            <w:tcW w:type="dxa" w:w="1493"/>
            <w:vAlign w:val="center"/>
          </w:tcPr>
          <w:p>
            <w:pPr>
              <w:spacing w:after="20"/>
            </w:pPr>
            <w:r>
              <w:rPr>
                <w:rFonts w:ascii="Helvetica Neue" w:hAnsi="Helvetica Neue"/>
                <w:sz w:val="14"/>
              </w:rPr>
              <w:t>04</w:t>
            </w:r>
          </w:p>
        </w:tc>
        <w:tc>
          <w:tcPr>
            <w:tcW w:type="dxa" w:w="1493"/>
            <w:vAlign w:val="center"/>
          </w:tcPr>
          <w:p>
            <w:pPr>
              <w:spacing w:after="20"/>
            </w:pPr>
            <w:r>
              <w:rPr>
                <w:rFonts w:ascii="Helvetica Neue" w:hAnsi="Helvetica Neue"/>
                <w:sz w:val="14"/>
              </w:rPr>
              <w:t>DG de Museos, Artes Visuales y Exposiciones (DGMAVE)</w:t>
            </w:r>
          </w:p>
        </w:tc>
        <w:tc>
          <w:tcPr>
            <w:tcW w:type="dxa" w:w="1493"/>
            <w:vAlign w:val="center"/>
          </w:tcPr>
          <w:p>
            <w:pPr>
              <w:spacing w:after="20"/>
            </w:pPr>
            <w:r>
              <w:rPr>
                <w:rFonts w:ascii="Helvetica Neue" w:hAnsi="Helvetica Neue"/>
                <w:sz w:val="14"/>
              </w:rPr>
              <w:t>• Informes narrativos en Word (.docx) y PowerPoint (.pptx).• Google Forms (Visitas escolares).• Excel de taquilla.</w:t>
            </w:r>
          </w:p>
        </w:tc>
        <w:tc>
          <w:tcPr>
            <w:tcW w:type="dxa" w:w="1493"/>
            <w:vAlign w:val="center"/>
          </w:tcPr>
          <w:p>
            <w:pPr>
              <w:spacing w:after="20"/>
            </w:pPr>
            <w:r>
              <w:rPr>
                <w:rFonts w:ascii="Helvetica Neue" w:hAnsi="Helvetica Neue"/>
                <w:sz w:val="14"/>
              </w:rPr>
              <w:t>Responsables: Dirección General, Administradores de Museos y Servicios Educativos.Periodicidad: Diaria / Mensual.</w:t>
            </w:r>
          </w:p>
        </w:tc>
        <w:tc>
          <w:tcPr>
            <w:tcW w:type="dxa" w:w="1493"/>
            <w:vAlign w:val="center"/>
          </w:tcPr>
          <w:p>
            <w:pPr>
              <w:spacing w:after="20"/>
            </w:pPr>
            <w:r>
              <w:rPr>
                <w:rFonts w:ascii="Helvetica Neue" w:hAnsi="Helvetica Neue"/>
                <w:sz w:val="14"/>
              </w:rPr>
              <w:t>Recinto museístico (27 recintos), título de exposición, fecha de inauguración, visitantes por sexo (H/M), grupos escolares y talleres.</w:t>
            </w:r>
          </w:p>
        </w:tc>
        <w:tc>
          <w:tcPr>
            <w:tcW w:type="dxa" w:w="1493"/>
            <w:vAlign w:val="center"/>
          </w:tcPr>
          <w:p>
            <w:pPr>
              <w:spacing w:after="20"/>
            </w:pPr>
            <w:r>
              <w:rPr>
                <w:rFonts w:ascii="Helvetica Neue" w:hAnsi="Helvetica Neue"/>
                <w:sz w:val="14"/>
              </w:rPr>
              <w:t>• Variaciones ortográficas en nombres de museos y exposiciones mes con mes, fragmentando el conteo acumulado anual.</w:t>
            </w:r>
          </w:p>
        </w:tc>
        <w:tc>
          <w:tcPr>
            <w:tcW w:type="dxa" w:w="1493"/>
            <w:vAlign w:val="center"/>
          </w:tcPr>
          <w:p>
            <w:pPr>
              <w:spacing w:after="20"/>
            </w:pPr>
            <w:r>
              <w:rPr>
                <w:rFonts w:ascii="Helvetica Neue" w:hAnsi="Helvetica Neue"/>
                <w:sz w:val="14"/>
              </w:rPr>
              <w:t>• Cifras de exposiciones inauguradas redactadas en prosa dentro de Word/PPT.• Limitación operativa en taquilla para desagregar la edad exacta de cada visitante.</w:t>
            </w:r>
          </w:p>
        </w:tc>
      </w:tr>
      <w:tr>
        <w:tc>
          <w:tcPr>
            <w:tcW w:type="dxa" w:w="1493"/>
            <w:vAlign w:val="center"/>
          </w:tcPr>
          <w:p>
            <w:pPr>
              <w:spacing w:after="20"/>
            </w:pPr>
            <w:r>
              <w:rPr>
                <w:rFonts w:ascii="Helvetica Neue" w:hAnsi="Helvetica Neue"/>
                <w:sz w:val="14"/>
              </w:rPr>
              <w:t>05</w:t>
            </w:r>
          </w:p>
        </w:tc>
        <w:tc>
          <w:tcPr>
            <w:tcW w:type="dxa" w:w="1493"/>
            <w:vAlign w:val="center"/>
          </w:tcPr>
          <w:p>
            <w:pPr>
              <w:spacing w:after="20"/>
            </w:pPr>
            <w:r>
              <w:rPr>
                <w:rFonts w:ascii="Helvetica Neue" w:hAnsi="Helvetica Neue"/>
                <w:sz w:val="14"/>
              </w:rPr>
              <w:t>Dirección General de Producción Artística</w:t>
            </w:r>
          </w:p>
        </w:tc>
        <w:tc>
          <w:tcPr>
            <w:tcW w:type="dxa" w:w="1493"/>
            <w:vAlign w:val="center"/>
          </w:tcPr>
          <w:p>
            <w:pPr>
              <w:spacing w:after="20"/>
            </w:pPr>
            <w:r>
              <w:rPr>
                <w:rFonts w:ascii="Helvetica Neue" w:hAnsi="Helvetica Neue"/>
                <w:sz w:val="14"/>
              </w:rPr>
              <w:t>• Hojas de cálculo de programación de teatros y presupuesto.• Encuestas de satisfacción en Word y Excel dispersos.</w:t>
            </w:r>
          </w:p>
        </w:tc>
        <w:tc>
          <w:tcPr>
            <w:tcW w:type="dxa" w:w="1493"/>
            <w:vAlign w:val="center"/>
          </w:tcPr>
          <w:p>
            <w:pPr>
              <w:spacing w:after="20"/>
            </w:pPr>
            <w:r>
              <w:rPr>
                <w:rFonts w:ascii="Helvetica Neue" w:hAnsi="Helvetica Neue"/>
                <w:sz w:val="14"/>
              </w:rPr>
              <w:t>Responsables: Dirección General y Coordinaciones de Teatros.Periodicidad: Por función / Cierre mensual.</w:t>
            </w:r>
          </w:p>
        </w:tc>
        <w:tc>
          <w:tcPr>
            <w:tcW w:type="dxa" w:w="1493"/>
            <w:vAlign w:val="center"/>
          </w:tcPr>
          <w:p>
            <w:pPr>
              <w:spacing w:after="20"/>
            </w:pPr>
            <w:r>
              <w:rPr>
                <w:rFonts w:ascii="Helvetica Neue" w:hAnsi="Helvetica Neue"/>
                <w:sz w:val="14"/>
              </w:rPr>
              <w:t>Recinto escénico (Teatro Juárez, Cervantes, etc.), disciplina, espectáculo, compañía contratada, monto contratado y público asistente.</w:t>
            </w:r>
          </w:p>
        </w:tc>
        <w:tc>
          <w:tcPr>
            <w:tcW w:type="dxa" w:w="1493"/>
            <w:vAlign w:val="center"/>
          </w:tcPr>
          <w:p>
            <w:pPr>
              <w:spacing w:after="20"/>
            </w:pPr>
            <w:r>
              <w:rPr>
                <w:rFonts w:ascii="Helvetica Neue" w:hAnsi="Helvetica Neue"/>
                <w:sz w:val="14"/>
              </w:rPr>
              <w:t>• Nombres de programas y procesos presupuestarios escritos manualmente con variaciones, duplicando categorías financieras.</w:t>
            </w:r>
          </w:p>
        </w:tc>
        <w:tc>
          <w:tcPr>
            <w:tcW w:type="dxa" w:w="1493"/>
            <w:vAlign w:val="center"/>
          </w:tcPr>
          <w:p>
            <w:pPr>
              <w:spacing w:after="20"/>
            </w:pPr>
            <w:r>
              <w:rPr>
                <w:rFonts w:ascii="Helvetica Neue" w:hAnsi="Helvetica Neue"/>
                <w:sz w:val="14"/>
              </w:rPr>
              <w:t>• Fórmulas de Excel desbloqueadas alteradas por error humano (#REF!, #DIV/0!) y celdas obligatorias vacías.• Encuestas no tabuladas.</w:t>
            </w:r>
          </w:p>
        </w:tc>
      </w:tr>
      <w:tr>
        <w:tc>
          <w:tcPr>
            <w:tcW w:type="dxa" w:w="1493"/>
            <w:vAlign w:val="center"/>
          </w:tcPr>
          <w:p>
            <w:pPr>
              <w:spacing w:after="20"/>
            </w:pPr>
            <w:r>
              <w:rPr>
                <w:rFonts w:ascii="Helvetica Neue" w:hAnsi="Helvetica Neue"/>
                <w:sz w:val="14"/>
              </w:rPr>
              <w:t>06</w:t>
            </w:r>
          </w:p>
        </w:tc>
        <w:tc>
          <w:tcPr>
            <w:tcW w:type="dxa" w:w="1493"/>
            <w:vAlign w:val="center"/>
          </w:tcPr>
          <w:p>
            <w:pPr>
              <w:spacing w:after="20"/>
            </w:pPr>
            <w:r>
              <w:rPr>
                <w:rFonts w:ascii="Helvetica Neue" w:hAnsi="Helvetica Neue"/>
                <w:sz w:val="14"/>
              </w:rPr>
              <w:t>Dirección General del Forum Cultural Guanajuato</w:t>
            </w:r>
          </w:p>
        </w:tc>
        <w:tc>
          <w:tcPr>
            <w:tcW w:type="dxa" w:w="1493"/>
            <w:vAlign w:val="center"/>
          </w:tcPr>
          <w:p>
            <w:pPr>
              <w:spacing w:after="20"/>
            </w:pPr>
            <w:r>
              <w:rPr>
                <w:rFonts w:ascii="Helvetica Neue" w:hAnsi="Helvetica Neue"/>
                <w:sz w:val="14"/>
              </w:rPr>
              <w:t>• Sistemas de control de accesos y matrices detalladas en Excel (.xlsx).• Cartelera mensual en PowerPoint (.pptx).</w:t>
            </w:r>
          </w:p>
        </w:tc>
        <w:tc>
          <w:tcPr>
            <w:tcW w:type="dxa" w:w="1493"/>
            <w:vAlign w:val="center"/>
          </w:tcPr>
          <w:p>
            <w:pPr>
              <w:spacing w:after="20"/>
            </w:pPr>
            <w:r>
              <w:rPr>
                <w:rFonts w:ascii="Helvetica Neue" w:hAnsi="Helvetica Neue"/>
                <w:sz w:val="14"/>
              </w:rPr>
              <w:t>Responsables: Dirección General del Forum y Responsables de Recinto.Periodicidad: Por evento / Mensual.</w:t>
            </w:r>
          </w:p>
        </w:tc>
        <w:tc>
          <w:tcPr>
            <w:tcW w:type="dxa" w:w="1493"/>
            <w:vAlign w:val="center"/>
          </w:tcPr>
          <w:p>
            <w:pPr>
              <w:spacing w:after="20"/>
            </w:pPr>
            <w:r>
              <w:rPr>
                <w:rFonts w:ascii="Helvetica Neue" w:hAnsi="Helvetica Neue"/>
                <w:sz w:val="14"/>
              </w:rPr>
              <w:t>Espacio del Forum (Teatro del Bicentenario, Mateo Herrera, etc.), modalidad (presencial/virtual), nuevas producciones y perfil demográfico.</w:t>
            </w:r>
          </w:p>
        </w:tc>
        <w:tc>
          <w:tcPr>
            <w:tcW w:type="dxa" w:w="1493"/>
            <w:vAlign w:val="center"/>
          </w:tcPr>
          <w:p>
            <w:pPr>
              <w:spacing w:after="20"/>
            </w:pPr>
            <w:r>
              <w:rPr>
                <w:rFonts w:ascii="Helvetica Neue" w:hAnsi="Helvetica Neue"/>
                <w:sz w:val="14"/>
              </w:rPr>
              <w:t>• Dificultad para distinguir entre visitas totales (boletos emitidos) y visitantes únicos cuando un usuario asiste a varios eventos.</w:t>
            </w:r>
          </w:p>
        </w:tc>
        <w:tc>
          <w:tcPr>
            <w:tcW w:type="dxa" w:w="1493"/>
            <w:vAlign w:val="center"/>
          </w:tcPr>
          <w:p>
            <w:pPr>
              <w:spacing w:after="20"/>
            </w:pPr>
            <w:r>
              <w:rPr>
                <w:rFonts w:ascii="Helvetica Neue" w:hAnsi="Helvetica Neue"/>
                <w:sz w:val="14"/>
              </w:rPr>
              <w:t>• Entrega de la cartelera mensual en diapositivas .pptx no procesables.• Consolidación manual hacia una sábana concentradora.</w:t>
            </w:r>
          </w:p>
        </w:tc>
      </w:tr>
      <w:tr>
        <w:tc>
          <w:tcPr>
            <w:tcW w:type="dxa" w:w="1493"/>
            <w:vAlign w:val="center"/>
          </w:tcPr>
          <w:p>
            <w:pPr>
              <w:spacing w:after="20"/>
            </w:pPr>
            <w:r>
              <w:rPr>
                <w:rFonts w:ascii="Helvetica Neue" w:hAnsi="Helvetica Neue"/>
                <w:sz w:val="14"/>
              </w:rPr>
              <w:t>07</w:t>
            </w:r>
          </w:p>
        </w:tc>
        <w:tc>
          <w:tcPr>
            <w:tcW w:type="dxa" w:w="1493"/>
            <w:vAlign w:val="center"/>
          </w:tcPr>
          <w:p>
            <w:pPr>
              <w:spacing w:after="20"/>
            </w:pPr>
            <w:r>
              <w:rPr>
                <w:rFonts w:ascii="Helvetica Neue" w:hAnsi="Helvetica Neue"/>
                <w:sz w:val="14"/>
              </w:rPr>
              <w:t>Dirección General Editorial y de Publicaciones</w:t>
            </w:r>
          </w:p>
        </w:tc>
        <w:tc>
          <w:tcPr>
            <w:tcW w:type="dxa" w:w="1493"/>
            <w:vAlign w:val="center"/>
          </w:tcPr>
          <w:p>
            <w:pPr>
              <w:spacing w:after="20"/>
            </w:pPr>
            <w:r>
              <w:rPr>
                <w:rFonts w:ascii="Helvetica Neue" w:hAnsi="Helvetica Neue"/>
                <w:sz w:val="14"/>
              </w:rPr>
              <w:t>• Hojas compartidas en Drive (convocatorias, ventas e inventarios).• Catálogo semestral de publicaciones en .pdf.</w:t>
            </w:r>
          </w:p>
        </w:tc>
        <w:tc>
          <w:tcPr>
            <w:tcW w:type="dxa" w:w="1493"/>
            <w:vAlign w:val="center"/>
          </w:tcPr>
          <w:p>
            <w:pPr>
              <w:spacing w:after="20"/>
            </w:pPr>
            <w:r>
              <w:rPr>
                <w:rFonts w:ascii="Helvetica Neue" w:hAnsi="Helvetica Neue"/>
                <w:sz w:val="14"/>
              </w:rPr>
              <w:t>Responsables: Dirección General, Coordinación Editorial, Almacén y Ferias.Periodicidad: Transaccional / Mensual / Semestral.</w:t>
            </w:r>
          </w:p>
        </w:tc>
        <w:tc>
          <w:tcPr>
            <w:tcW w:type="dxa" w:w="1493"/>
            <w:vAlign w:val="center"/>
          </w:tcPr>
          <w:p>
            <w:pPr>
              <w:spacing w:after="20"/>
            </w:pPr>
            <w:r>
              <w:rPr>
                <w:rFonts w:ascii="Helvetica Neue" w:hAnsi="Helvetica Neue"/>
                <w:sz w:val="14"/>
              </w:rPr>
              <w:t>Título, autor, ISBN, género editorial, tiraje, estímulos públicos, presencia en ferias nacionales, ingresos por ventas y stock.</w:t>
            </w:r>
          </w:p>
        </w:tc>
        <w:tc>
          <w:tcPr>
            <w:tcW w:type="dxa" w:w="1493"/>
            <w:vAlign w:val="center"/>
          </w:tcPr>
          <w:p>
            <w:pPr>
              <w:spacing w:after="20"/>
            </w:pPr>
            <w:r>
              <w:rPr>
                <w:rFonts w:ascii="Helvetica Neue" w:hAnsi="Helvetica Neue"/>
                <w:sz w:val="14"/>
              </w:rPr>
              <w:t>• Edición simultánea sin control de permisos por múltiples usuarios sobre las mismas hojas, causando sobreescritura y duplicación.</w:t>
            </w:r>
          </w:p>
        </w:tc>
        <w:tc>
          <w:tcPr>
            <w:tcW w:type="dxa" w:w="1493"/>
            <w:vAlign w:val="center"/>
          </w:tcPr>
          <w:p>
            <w:pPr>
              <w:spacing w:after="20"/>
            </w:pPr>
            <w:r>
              <w:rPr>
                <w:rFonts w:ascii="Helvetica Neue" w:hAnsi="Helvetica Neue"/>
                <w:sz w:val="14"/>
              </w:rPr>
              <w:t>• Catálogo editorial encerrado en archivo PDF estático.• Desconexión entre el Stock Teórico (Excel) y el Stock Físico (Almacén).</w:t>
            </w:r>
          </w:p>
        </w:tc>
      </w:tr>
      <w:tr>
        <w:tc>
          <w:tcPr>
            <w:tcW w:type="dxa" w:w="1493"/>
            <w:vAlign w:val="center"/>
          </w:tcPr>
          <w:p>
            <w:pPr>
              <w:spacing w:after="20"/>
            </w:pPr>
            <w:r>
              <w:rPr>
                <w:rFonts w:ascii="Helvetica Neue" w:hAnsi="Helvetica Neue"/>
                <w:sz w:val="14"/>
              </w:rPr>
              <w:t>08</w:t>
            </w:r>
          </w:p>
        </w:tc>
        <w:tc>
          <w:tcPr>
            <w:tcW w:type="dxa" w:w="1493"/>
            <w:vAlign w:val="center"/>
          </w:tcPr>
          <w:p>
            <w:pPr>
              <w:spacing w:after="20"/>
            </w:pPr>
            <w:r>
              <w:rPr>
                <w:rFonts w:ascii="Helvetica Neue" w:hAnsi="Helvetica Neue"/>
                <w:sz w:val="14"/>
              </w:rPr>
              <w:t>Dirección General de Formación e Investigación</w:t>
            </w:r>
          </w:p>
        </w:tc>
        <w:tc>
          <w:tcPr>
            <w:tcW w:type="dxa" w:w="1493"/>
            <w:vAlign w:val="center"/>
          </w:tcPr>
          <w:p>
            <w:pPr>
              <w:spacing w:after="20"/>
            </w:pPr>
            <w:r>
              <w:rPr>
                <w:rFonts w:ascii="Helvetica Neue" w:hAnsi="Helvetica Neue"/>
                <w:sz w:val="14"/>
              </w:rPr>
              <w:t>• Google Forms para talleres y diplomados.• Hojas de Excel para conciertos, concursos y agrupaciones.</w:t>
            </w:r>
          </w:p>
        </w:tc>
        <w:tc>
          <w:tcPr>
            <w:tcW w:type="dxa" w:w="1493"/>
            <w:vAlign w:val="center"/>
          </w:tcPr>
          <w:p>
            <w:pPr>
              <w:spacing w:after="20"/>
            </w:pPr>
            <w:r>
              <w:rPr>
                <w:rFonts w:ascii="Helvetica Neue" w:hAnsi="Helvetica Neue"/>
                <w:sz w:val="14"/>
              </w:rPr>
              <w:t>Responsables: Dirección General, CEARG y Coordinadores Académicos.Periodicidad: Por sesión o módulo / Mensual.</w:t>
            </w:r>
          </w:p>
        </w:tc>
        <w:tc>
          <w:tcPr>
            <w:tcW w:type="dxa" w:w="1493"/>
            <w:vAlign w:val="center"/>
          </w:tcPr>
          <w:p>
            <w:pPr>
              <w:spacing w:after="20"/>
            </w:pPr>
            <w:r>
              <w:rPr>
                <w:rFonts w:ascii="Helvetica Neue" w:hAnsi="Helvetica Neue"/>
                <w:sz w:val="14"/>
              </w:rPr>
              <w:t>Proceso formativo, tipo de oferta (taller, diplomado, laboratorio), disciplina, municipio sede y perfil demográfico del alumno.</w:t>
            </w:r>
          </w:p>
        </w:tc>
        <w:tc>
          <w:tcPr>
            <w:tcW w:type="dxa" w:w="1493"/>
            <w:vAlign w:val="center"/>
          </w:tcPr>
          <w:p>
            <w:pPr>
              <w:spacing w:after="20"/>
            </w:pPr>
            <w:r>
              <w:rPr>
                <w:rFonts w:ascii="Helvetica Neue" w:hAnsi="Helvetica Neue"/>
                <w:sz w:val="14"/>
              </w:rPr>
              <w:t>• En bandas, orquestas y diplomados con múltiples ensayos al mes, el registro por sesión sin matrícula única multiplica a un mismo alumno.</w:t>
            </w:r>
          </w:p>
        </w:tc>
        <w:tc>
          <w:tcPr>
            <w:tcW w:type="dxa" w:w="1493"/>
            <w:vAlign w:val="center"/>
          </w:tcPr>
          <w:p>
            <w:pPr>
              <w:spacing w:after="20"/>
            </w:pPr>
            <w:r>
              <w:rPr>
                <w:rFonts w:ascii="Helvetica Neue" w:hAnsi="Helvetica Neue"/>
                <w:sz w:val="14"/>
              </w:rPr>
              <w:t>• Brecha física interna: En 5 de sus 6 fuentes primarias se reporta carencia de equipos de cómputo y personal para captura en sitio.</w:t>
            </w:r>
          </w:p>
        </w:tc>
      </w:tr>
    </w:tbl>
    <w:p>
      <w:pPr>
        <w:spacing w:after="20"/>
      </w:pPr>
    </w:p>
    <w:p>
      <w:pPr>
        <w:pStyle w:val="Heading1"/>
      </w:pPr>
      <w:r>
        <w:rPr>
          <w:b w:val="0"/>
          <w:i w:val="0"/>
        </w:rPr>
        <w:t>Anexo B. Auditoría de calidad e integridad de la base institucional</w:t>
      </w:r>
    </w:p>
    <w:p>
      <w:r>
        <w:rPr>
          <w:b w:val="0"/>
          <w:i w:val="0"/>
        </w:rPr>
        <w:br/>
        <w:br/>
        <w:t xml:space="preserve">      Adicionalmente al levantamiento documental de las áreas, Consultoría </w:t>
      </w:r>
      <w:r>
        <w:rPr>
          <w:b/>
          <w:i w:val="0"/>
        </w:rPr>
        <w:t>PULSO Q</w:t>
      </w:r>
      <w:r>
        <w:rPr>
          <w:b w:val="0"/>
          <w:i w:val="0"/>
        </w:rPr>
        <w:t xml:space="preserve"> ejecutó una auditoría informática integral sobre la base de datos institucional en operación (</w:t>
      </w:r>
      <w:r>
        <w:rPr>
          <w:rFonts w:ascii="Consolas" w:hAnsi="Consolas"/>
          <w:b w:val="0"/>
          <w:i w:val="0"/>
          <w:sz w:val="16"/>
        </w:rPr>
        <w:t>DB_Sistema_Cultura_GTO_V1</w:t>
      </w:r>
      <w:r>
        <w:rPr>
          <w:b w:val="0"/>
          <w:i w:val="0"/>
        </w:rPr>
        <w:t xml:space="preserve">), contrastando el padrón de actividades contra el tabulador oficial de las </w:t>
      </w:r>
      <w:r>
        <w:rPr>
          <w:b/>
          <w:i w:val="0"/>
        </w:rPr>
        <w:t>99 metas anuales</w:t>
      </w:r>
      <w:r>
        <w:rPr>
          <w:b w:val="0"/>
          <w:i w:val="0"/>
        </w:rPr>
        <w:t xml:space="preserve"> y los </w:t>
      </w:r>
      <w:r>
        <w:rPr>
          <w:b/>
          <w:i w:val="0"/>
        </w:rPr>
        <w:t>34 procesos presupuestales</w:t>
      </w:r>
      <w:r>
        <w:rPr>
          <w:b w:val="0"/>
          <w:i w:val="0"/>
        </w:rPr>
        <w:t xml:space="preserve"> (</w:t>
      </w:r>
      <w:r>
        <w:rPr>
          <w:rFonts w:ascii="Consolas" w:hAnsi="Consolas"/>
          <w:b w:val="0"/>
          <w:i w:val="0"/>
          <w:sz w:val="16"/>
        </w:rPr>
        <w:t>Cat_Alineacion</w:t>
      </w:r>
      <w:r>
        <w:rPr>
          <w:b w:val="0"/>
          <w:i w:val="0"/>
        </w:rPr>
        <w:t>). Los hallazgos cuantitativos auditados se resumen en la siguiente tabla:</w:t>
        <w:br/>
        <w:br/>
        <w:t xml:space="preserve">    </w:t>
      </w:r>
    </w:p>
    <w:tbl>
      <w:tblPr>
        <w:tblStyle w:val="TableGrid"/>
        <w:tblW w:type="auto" w:w="0"/>
        <w:jc w:val="center"/>
        <w:tblLayout w:type="autofit"/>
        <w:tblLook w:firstColumn="1" w:firstRow="1" w:lastColumn="0" w:lastRow="0" w:noHBand="0" w:noVBand="1" w:val="04A0"/>
      </w:tblPr>
      <w:tblGrid>
        <w:gridCol w:w="3485"/>
        <w:gridCol w:w="3485"/>
        <w:gridCol w:w="3485"/>
      </w:tblGrid>
      <w:tr>
        <w:tc>
          <w:tcPr>
            <w:tcW w:type="dxa" w:w="3485"/>
            <w:vAlign w:val="center"/>
            <w:shd w:fill="004B87"/>
          </w:tcPr>
          <w:p>
            <w:pPr>
              <w:spacing w:after="20"/>
            </w:pPr>
            <w:r>
              <w:rPr>
                <w:rFonts w:ascii="Helvetica Neue" w:hAnsi="Helvetica Neue"/>
                <w:b/>
                <w:color w:val="FFFFFF"/>
                <w:sz w:val="16"/>
              </w:rPr>
              <w:t>Vector Auditado en DB_Sistema_Cultura_GTO_V1</w:t>
            </w:r>
          </w:p>
        </w:tc>
        <w:tc>
          <w:tcPr>
            <w:tcW w:type="dxa" w:w="3485"/>
            <w:vAlign w:val="center"/>
            <w:shd w:fill="004B87"/>
          </w:tcPr>
          <w:p>
            <w:pPr>
              <w:spacing w:after="20"/>
            </w:pPr>
            <w:r>
              <w:rPr>
                <w:rFonts w:ascii="Helvetica Neue" w:hAnsi="Helvetica Neue"/>
                <w:b/>
                <w:color w:val="FFFFFF"/>
                <w:sz w:val="16"/>
              </w:rPr>
              <w:t>Cifra Oficial Auditada</w:t>
            </w:r>
          </w:p>
        </w:tc>
        <w:tc>
          <w:tcPr>
            <w:tcW w:type="dxa" w:w="3485"/>
            <w:vAlign w:val="center"/>
            <w:shd w:fill="004B87"/>
          </w:tcPr>
          <w:p>
            <w:pPr>
              <w:spacing w:after="20"/>
            </w:pPr>
            <w:r>
              <w:rPr>
                <w:rFonts w:ascii="Helvetica Neue" w:hAnsi="Helvetica Neue"/>
                <w:b/>
                <w:color w:val="FFFFFF"/>
                <w:sz w:val="16"/>
              </w:rPr>
              <w:t>Dictamen Técnico de Integridad, Discrepancias y Trazabilidad</w:t>
            </w:r>
          </w:p>
        </w:tc>
      </w:tr>
      <w:tr>
        <w:tc>
          <w:tcPr>
            <w:tcW w:type="dxa" w:w="3485"/>
            <w:vAlign w:val="center"/>
          </w:tcPr>
          <w:p>
            <w:pPr>
              <w:spacing w:after="20"/>
            </w:pPr>
            <w:r>
              <w:rPr>
                <w:rFonts w:ascii="Helvetica Neue" w:hAnsi="Helvetica Neue"/>
                <w:sz w:val="16"/>
              </w:rPr>
              <w:t>1. Universo de Actividades Culturales y Artísticas (Registro_Actividades)</w:t>
            </w:r>
          </w:p>
        </w:tc>
        <w:tc>
          <w:tcPr>
            <w:tcW w:type="dxa" w:w="3485"/>
            <w:vAlign w:val="center"/>
          </w:tcPr>
          <w:p>
            <w:pPr>
              <w:spacing w:after="20"/>
            </w:pPr>
            <w:r>
              <w:rPr>
                <w:rFonts w:ascii="Helvetica Neue" w:hAnsi="Helvetica Neue"/>
                <w:sz w:val="16"/>
              </w:rPr>
              <w:t>573 actividades(1,797 sesiones)</w:t>
            </w:r>
          </w:p>
        </w:tc>
        <w:tc>
          <w:tcPr>
            <w:tcW w:type="dxa" w:w="3485"/>
            <w:vAlign w:val="center"/>
          </w:tcPr>
          <w:p>
            <w:pPr>
              <w:spacing w:after="20"/>
            </w:pPr>
            <w:r>
              <w:rPr>
                <w:rFonts w:ascii="Helvetica Neue" w:hAnsi="Helvetica Neue"/>
                <w:sz w:val="16"/>
              </w:rPr>
              <w:t>El 100.0% de las actividades cuenta con llave primaria única (ACT00001 al ACT00573), folio temporal de auditoría y vinculación hacia el catálogo rector Cat_Alineacion (99 metas anuales y 34 procesos estratégicos).</w:t>
            </w:r>
          </w:p>
        </w:tc>
      </w:tr>
      <w:tr>
        <w:tc>
          <w:tcPr>
            <w:tcW w:type="dxa" w:w="3485"/>
            <w:vAlign w:val="center"/>
          </w:tcPr>
          <w:p>
            <w:pPr>
              <w:spacing w:after="20"/>
            </w:pPr>
            <w:r>
              <w:rPr>
                <w:rFonts w:ascii="Helvetica Neue" w:hAnsi="Helvetica Neue"/>
                <w:sz w:val="16"/>
              </w:rPr>
              <w:t>2. Cobertura Territorial Estatal (Cat_Municipio / GTO_COORDS)</w:t>
            </w:r>
          </w:p>
        </w:tc>
        <w:tc>
          <w:tcPr>
            <w:tcW w:type="dxa" w:w="3485"/>
            <w:vAlign w:val="center"/>
          </w:tcPr>
          <w:p>
            <w:pPr>
              <w:spacing w:after="20"/>
            </w:pPr>
            <w:r>
              <w:rPr>
                <w:rFonts w:ascii="Helvetica Neue" w:hAnsi="Helvetica Neue"/>
                <w:sz w:val="16"/>
              </w:rPr>
              <w:t>25 de 46 municipios(54.3% cobertura estatal)</w:t>
            </w:r>
          </w:p>
        </w:tc>
        <w:tc>
          <w:tcPr>
            <w:tcW w:type="dxa" w:w="3485"/>
            <w:vAlign w:val="center"/>
          </w:tcPr>
          <w:p>
            <w:pPr>
              <w:spacing w:after="20"/>
            </w:pPr>
            <w:r>
              <w:rPr>
                <w:rFonts w:ascii="Helvetica Neue" w:hAnsi="Helvetica Neue"/>
                <w:sz w:val="16"/>
              </w:rPr>
              <w:t>Se registra presencia activa en 25 municipios del Estado de Guanajuato más 1 sede nacional foránea (Ciudad de México), abarcando 37 localidades y 228 actividades con incidencia en Zonas de Atención Prioritaria (ZAP).</w:t>
            </w:r>
          </w:p>
        </w:tc>
      </w:tr>
      <w:tr>
        <w:tc>
          <w:tcPr>
            <w:tcW w:type="dxa" w:w="3485"/>
            <w:vAlign w:val="center"/>
          </w:tcPr>
          <w:p>
            <w:pPr>
              <w:spacing w:after="20"/>
            </w:pPr>
            <w:r>
              <w:rPr>
                <w:rFonts w:ascii="Helvetica Neue" w:hAnsi="Helvetica Neue"/>
                <w:sz w:val="16"/>
              </w:rPr>
              <w:t>3. Alcance Total en Registro Territorial (Registro_Territorio)</w:t>
            </w:r>
          </w:p>
        </w:tc>
        <w:tc>
          <w:tcPr>
            <w:tcW w:type="dxa" w:w="3485"/>
            <w:vAlign w:val="center"/>
          </w:tcPr>
          <w:p>
            <w:pPr>
              <w:spacing w:after="20"/>
            </w:pPr>
            <w:r>
              <w:rPr>
                <w:rFonts w:ascii="Helvetica Neue" w:hAnsi="Helvetica Neue"/>
                <w:sz w:val="16"/>
              </w:rPr>
              <w:t>349,183 beneficiarios(en 563 filas hijas)</w:t>
            </w:r>
          </w:p>
        </w:tc>
        <w:tc>
          <w:tcPr>
            <w:tcW w:type="dxa" w:w="3485"/>
            <w:vAlign w:val="center"/>
          </w:tcPr>
          <w:p>
            <w:pPr>
              <w:spacing w:after="20"/>
            </w:pPr>
            <w:r>
              <w:rPr>
                <w:rFonts w:ascii="Helvetica Neue" w:hAnsi="Helvetica Neue"/>
                <w:sz w:val="16"/>
              </w:rPr>
              <w:t>Representa el volumen bruto de población alcanzada por sede municipal y comunidad. Presenta 100.0% de integridad referencial (0 registros huérfanos) respecto a la tabla padre.</w:t>
            </w:r>
          </w:p>
        </w:tc>
      </w:tr>
      <w:tr>
        <w:tc>
          <w:tcPr>
            <w:tcW w:type="dxa" w:w="3485"/>
            <w:vAlign w:val="center"/>
          </w:tcPr>
          <w:p>
            <w:pPr>
              <w:spacing w:after="20"/>
            </w:pPr>
            <w:r>
              <w:rPr>
                <w:rFonts w:ascii="Helvetica Neue" w:hAnsi="Helvetica Neue"/>
                <w:sz w:val="16"/>
              </w:rPr>
              <w:t>4. Alcance Total en Desglose Demográfico (Registro_Poblacion)</w:t>
            </w:r>
          </w:p>
        </w:tc>
        <w:tc>
          <w:tcPr>
            <w:tcW w:type="dxa" w:w="3485"/>
            <w:vAlign w:val="center"/>
          </w:tcPr>
          <w:p>
            <w:pPr>
              <w:spacing w:after="20"/>
            </w:pPr>
            <w:r>
              <w:rPr>
                <w:rFonts w:ascii="Helvetica Neue" w:hAnsi="Helvetica Neue"/>
                <w:sz w:val="16"/>
              </w:rPr>
              <w:t>304,626 personas(en 1,033 filas hijas)</w:t>
            </w:r>
          </w:p>
        </w:tc>
        <w:tc>
          <w:tcPr>
            <w:tcW w:type="dxa" w:w="3485"/>
            <w:vAlign w:val="center"/>
          </w:tcPr>
          <w:p>
            <w:pPr>
              <w:spacing w:after="20"/>
            </w:pPr>
            <w:r>
              <w:rPr>
                <w:rFonts w:ascii="Helvetica Neue" w:hAnsi="Helvetica Neue"/>
                <w:sz w:val="16"/>
              </w:rPr>
              <w:t>Representa la población desagregada por grupo etario, género y grupo prioritario. Presenta 100.0% de integridad referencial (0 registros huérfanos) respecto a la tabla padre.</w:t>
            </w:r>
          </w:p>
        </w:tc>
      </w:tr>
      <w:tr>
        <w:tc>
          <w:tcPr>
            <w:tcW w:type="dxa" w:w="3485"/>
            <w:vAlign w:val="center"/>
          </w:tcPr>
          <w:p>
            <w:pPr>
              <w:spacing w:after="20"/>
            </w:pPr>
            <w:r>
              <w:rPr>
                <w:rFonts w:ascii="Helvetica Neue" w:hAnsi="Helvetica Neue"/>
                <w:sz w:val="16"/>
              </w:rPr>
              <w:t>5. Discrepancia Detectada: Territorio vs. Demografía (Variación Neta)</w:t>
            </w:r>
          </w:p>
        </w:tc>
        <w:tc>
          <w:tcPr>
            <w:tcW w:type="dxa" w:w="3485"/>
            <w:vAlign w:val="center"/>
          </w:tcPr>
          <w:p>
            <w:pPr>
              <w:spacing w:after="20"/>
            </w:pPr>
            <w:r>
              <w:rPr>
                <w:rFonts w:ascii="Helvetica Neue" w:hAnsi="Helvetica Neue"/>
                <w:sz w:val="16"/>
              </w:rPr>
              <w:t>-44,557 registros(-12.76% de variación)</w:t>
            </w:r>
          </w:p>
        </w:tc>
        <w:tc>
          <w:tcPr>
            <w:tcW w:type="dxa" w:w="3485"/>
            <w:vAlign w:val="center"/>
          </w:tcPr>
          <w:p>
            <w:pPr>
              <w:spacing w:after="20"/>
            </w:pPr>
            <w:r>
              <w:rPr>
                <w:rFonts w:ascii="Helvetica Neue" w:hAnsi="Helvetica Neue"/>
                <w:sz w:val="16"/>
              </w:rPr>
              <w:t>Hallazgo Crítico de Auditoría: Existe una diferencia neta de -44,557 registros entre el total territorial (349,183) y el total demográfico (304,626), originada por 10 actividades (573 - 563) con captura incompleta y por eventos masivos (ej. zonas arqueológicas y ferias) donde se registró el aforo territorial pero se omitió desglosar Registro_Poblacion.</w:t>
            </w:r>
          </w:p>
        </w:tc>
      </w:tr>
      <w:tr>
        <w:tc>
          <w:tcPr>
            <w:tcW w:type="dxa" w:w="3485"/>
            <w:vAlign w:val="center"/>
          </w:tcPr>
          <w:p>
            <w:pPr>
              <w:spacing w:after="20"/>
            </w:pPr>
            <w:r>
              <w:rPr>
                <w:rFonts w:ascii="Helvetica Neue" w:hAnsi="Helvetica Neue"/>
                <w:sz w:val="16"/>
              </w:rPr>
              <w:t>6. Separación Metodológica: Acceso Masivo vs. Participación Activa</w:t>
            </w:r>
          </w:p>
        </w:tc>
        <w:tc>
          <w:tcPr>
            <w:tcW w:type="dxa" w:w="3485"/>
            <w:vAlign w:val="center"/>
          </w:tcPr>
          <w:p>
            <w:pPr>
              <w:spacing w:after="20"/>
            </w:pPr>
            <w:r>
              <w:rPr>
                <w:rFonts w:ascii="Helvetica Neue" w:hAnsi="Helvetica Neue"/>
                <w:sz w:val="16"/>
              </w:rPr>
              <w:t>344,037 Acceso (98.52%)5,146 Participación (1.48%)</w:t>
            </w:r>
          </w:p>
        </w:tc>
        <w:tc>
          <w:tcPr>
            <w:tcW w:type="dxa" w:w="3485"/>
            <w:vAlign w:val="center"/>
          </w:tcPr>
          <w:p>
            <w:pPr>
              <w:spacing w:after="20"/>
            </w:pPr>
            <w:r>
              <w:rPr>
                <w:rFonts w:ascii="Helvetica Neue" w:hAnsi="Helvetica Neue"/>
                <w:sz w:val="16"/>
              </w:rPr>
              <w:t>El modelo distingue con precisión el Acceso Cultural (344,037 espectadores y visitantes en exposiciones, funciones, festivales y zonas arqueológicas) frente a la Participación Activa (5,146 personas en talleres formativos, diplomados, laboratorios y procesos comunitarios continuos).</w:t>
            </w:r>
          </w:p>
        </w:tc>
      </w:tr>
      <w:tr>
        <w:tc>
          <w:tcPr>
            <w:tcW w:type="dxa" w:w="3485"/>
            <w:vAlign w:val="center"/>
          </w:tcPr>
          <w:p>
            <w:pPr>
              <w:spacing w:after="20"/>
            </w:pPr>
            <w:r>
              <w:rPr>
                <w:rFonts w:ascii="Helvetica Neue" w:hAnsi="Helvetica Neue"/>
                <w:sz w:val="16"/>
              </w:rPr>
              <w:t>7. Respaldo Probatorio en Google Drive (Registro_Evidencia)</w:t>
            </w:r>
          </w:p>
        </w:tc>
        <w:tc>
          <w:tcPr>
            <w:tcW w:type="dxa" w:w="3485"/>
            <w:vAlign w:val="center"/>
          </w:tcPr>
          <w:p>
            <w:pPr>
              <w:spacing w:after="20"/>
            </w:pPr>
            <w:r>
              <w:rPr>
                <w:rFonts w:ascii="Helvetica Neue" w:hAnsi="Helvetica Neue"/>
                <w:sz w:val="16"/>
              </w:rPr>
              <w:t>289 expedientes(0 huérfanos)</w:t>
            </w:r>
          </w:p>
        </w:tc>
        <w:tc>
          <w:tcPr>
            <w:tcW w:type="dxa" w:w="3485"/>
            <w:vAlign w:val="center"/>
          </w:tcPr>
          <w:p>
            <w:pPr>
              <w:spacing w:after="20"/>
            </w:pPr>
            <w:r>
              <w:rPr>
                <w:rFonts w:ascii="Helvetica Neue" w:hAnsi="Helvetica Neue"/>
                <w:sz w:val="16"/>
              </w:rPr>
              <w:t>Archivos probatorios (fotografías, listas de asistencia en PDF y carpetas ZIP) vinculados al folio de cada actividad, permitiendo revisar las actividades con evidencia pendiente por Dirección General.</w:t>
            </w:r>
          </w:p>
        </w:tc>
      </w:tr>
    </w:tbl>
    <w:p>
      <w:pPr>
        <w:spacing w:after="20"/>
      </w:pP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shd w:fill="004B87"/>
          </w:tcPr>
          <w:p>
            <w:pPr>
              <w:spacing w:after="20"/>
              <w:jc w:val="center"/>
            </w:pPr>
            <w:r>
              <w:rPr>
                <w:rFonts w:ascii="Helvetica Neue" w:hAnsi="Helvetica Neue"/>
                <w:b/>
                <w:color w:val="FFFFFF"/>
                <w:sz w:val="16"/>
              </w:rPr>
            </w:r>
            <w:r>
              <w:rPr>
                <w:rFonts w:ascii="Helvetica Neue" w:hAnsi="Helvetica Neue"/>
                <w:b/>
                <w:color w:val="FFFFFF"/>
                <w:sz w:val="16"/>
              </w:rPr>
              <w:drawing>
                <wp:inline xmlns:a="http://schemas.openxmlformats.org/drawingml/2006/main" xmlns:pic="http://schemas.openxmlformats.org/drawingml/2006/picture">
                  <wp:extent cx="3108960" cy="2288540"/>
                  <wp:docPr id="3" name="Picture 3"/>
                  <wp:cNvGraphicFramePr>
                    <a:graphicFrameLocks noChangeAspect="1"/>
                  </wp:cNvGraphicFramePr>
                  <a:graphic>
                    <a:graphicData uri="http://schemas.openxmlformats.org/drawingml/2006/picture">
                      <pic:pic>
                        <pic:nvPicPr>
                          <pic:cNvPr id="0" name="captura-tablero-vista-general.png"/>
                          <pic:cNvPicPr/>
                        </pic:nvPicPr>
                        <pic:blipFill>
                          <a:blip r:embed="rId14"/>
                          <a:stretch>
                            <a:fillRect/>
                          </a:stretch>
                        </pic:blipFill>
                        <pic:spPr>
                          <a:xfrm>
                            <a:off x="0" y="0"/>
                            <a:ext cx="3108960" cy="2288540"/>
                          </a:xfrm>
                          <a:prstGeom prst="rect"/>
                        </pic:spPr>
                      </pic:pic>
                    </a:graphicData>
                  </a:graphic>
                </wp:inline>
              </w:drawing>
            </w:r>
          </w:p>
          <w:p>
            <w:pPr>
              <w:spacing w:after="20"/>
            </w:pPr>
            <w:r>
              <w:rPr>
                <w:rFonts w:ascii="Helvetica Neue" w:hAnsi="Helvetica Neue"/>
                <w:b/>
                <w:color w:val="FFFFFF"/>
                <w:sz w:val="16"/>
              </w:rPr>
              <w:t>Figura 1.1 — Vista General del Tablero Directivo Web SPA y Mapa Geoespacial (GTO_COORDS): Visualización conectada al padrón de las 573 actividades auditadas, el conmutador dual Territorial (349,183) vs. Demográfico (304,626), la separación entre Participación Activa (5,146) y Acceso (344,037), la cobertura en 25 de los 46 municipios (54.3%) y el botón de exportación ejecutiva Widescreen (.pptx).</w:t>
            </w:r>
          </w:p>
        </w:tc>
        <w:tc>
          <w:tcPr>
            <w:tcW w:type="dxa" w:w="5227"/>
            <w:vAlign w:val="center"/>
            <w:shd w:fill="004B87"/>
          </w:tcPr>
          <w:p>
            <w:pPr>
              <w:spacing w:after="20"/>
              <w:jc w:val="center"/>
            </w:pPr>
            <w:r>
              <w:rPr>
                <w:rFonts w:ascii="Helvetica Neue" w:hAnsi="Helvetica Neue"/>
                <w:b/>
                <w:color w:val="FFFFFF"/>
                <w:sz w:val="16"/>
              </w:rPr>
            </w:r>
            <w:r>
              <w:rPr>
                <w:rFonts w:ascii="Helvetica Neue" w:hAnsi="Helvetica Neue"/>
                <w:b/>
                <w:color w:val="FFFFFF"/>
                <w:sz w:val="16"/>
              </w:rPr>
              <w:drawing>
                <wp:inline xmlns:a="http://schemas.openxmlformats.org/drawingml/2006/main" xmlns:pic="http://schemas.openxmlformats.org/drawingml/2006/picture">
                  <wp:extent cx="3108960" cy="2245360"/>
                  <wp:docPr id="4" name="Picture 4"/>
                  <wp:cNvGraphicFramePr>
                    <a:graphicFrameLocks noChangeAspect="1"/>
                  </wp:cNvGraphicFramePr>
                  <a:graphic>
                    <a:graphicData uri="http://schemas.openxmlformats.org/drawingml/2006/picture">
                      <pic:pic>
                        <pic:nvPicPr>
                          <pic:cNvPr id="0" name="captura-mapa-46-municipios.png"/>
                          <pic:cNvPicPr/>
                        </pic:nvPicPr>
                        <pic:blipFill>
                          <a:blip r:embed="rId15"/>
                          <a:stretch>
                            <a:fillRect/>
                          </a:stretch>
                        </pic:blipFill>
                        <pic:spPr>
                          <a:xfrm>
                            <a:off x="0" y="0"/>
                            <a:ext cx="3108960" cy="2245360"/>
                          </a:xfrm>
                          <a:prstGeom prst="rect"/>
                        </pic:spPr>
                      </pic:pic>
                    </a:graphicData>
                  </a:graphic>
                </wp:inline>
              </w:drawing>
            </w:r>
          </w:p>
          <w:p>
            <w:pPr>
              <w:spacing w:after="20"/>
            </w:pPr>
            <w:r>
              <w:rPr>
                <w:rFonts w:ascii="Helvetica Neue" w:hAnsi="Helvetica Neue"/>
                <w:b/>
                <w:color w:val="FFFFFF"/>
                <w:sz w:val="16"/>
              </w:rPr>
              <w:t>Figura 1.2 — Módulo de Cobertura Territorial y Polígonos ZAP: Desglose geoespacial sobre el padrón completo de los 46 municipios del Estado de Guanajuato, mostrando las 37 comunidades impactadas, las 228 actividades en Zonas de Atención Prioritaria (ZAP), la proporción por ámbito (Urbano 96.6%, Periurbano 2.5%, Rural 0.9%) y el padrón por localidad.</w:t>
            </w:r>
          </w:p>
        </w:tc>
      </w:tr>
    </w:tbl>
    <w:p>
      <w:pPr>
        <w:spacing w:after="20"/>
      </w:pPr>
    </w:p>
    <w:p>
      <w:r>
        <w:br w:type="page"/>
      </w:r>
    </w:p>
    <w:p>
      <w:pPr>
        <w:pStyle w:val="Heading1"/>
      </w:pPr>
      <w:r>
        <w:rPr>
          <w:b w:val="0"/>
          <w:i w:val="0"/>
        </w:rPr>
        <w:t>Anexo C. Nota metodológica y límites del diagnóstico</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vAlign w:val="center"/>
            <w:shd w:fill="004B87"/>
          </w:tcPr>
          <w:p>
            <w:pPr>
              <w:spacing w:after="20"/>
            </w:pPr>
            <w:r>
              <w:rPr>
                <w:rFonts w:ascii="Helvetica Neue" w:hAnsi="Helvetica Neue"/>
                <w:b/>
                <w:color w:val="FFFFFF"/>
                <w:sz w:val="16"/>
              </w:rPr>
              <w:t>Fecha de corte</w:t>
            </w:r>
          </w:p>
        </w:tc>
        <w:tc>
          <w:tcPr>
            <w:tcW w:type="dxa" w:w="5227"/>
            <w:vAlign w:val="center"/>
            <w:shd w:fill="004B87"/>
          </w:tcPr>
          <w:p>
            <w:pPr>
              <w:spacing w:after="20"/>
            </w:pPr>
            <w:r>
              <w:rPr>
                <w:rFonts w:ascii="Helvetica Neue" w:hAnsi="Helvetica Neue"/>
                <w:b/>
                <w:color w:val="FFFFFF"/>
                <w:sz w:val="16"/>
              </w:rPr>
              <w:t>19 de octubre de 2026.</w:t>
            </w:r>
          </w:p>
        </w:tc>
      </w:tr>
      <w:tr>
        <w:tc>
          <w:tcPr>
            <w:tcW w:type="dxa" w:w="5227"/>
            <w:vAlign w:val="center"/>
            <w:shd w:fill="004B87"/>
          </w:tcPr>
          <w:p>
            <w:pPr>
              <w:spacing w:after="20"/>
            </w:pPr>
            <w:r>
              <w:rPr>
                <w:rFonts w:ascii="Helvetica Neue" w:hAnsi="Helvetica Neue"/>
                <w:b/>
                <w:color w:val="FFFFFF"/>
                <w:sz w:val="16"/>
              </w:rPr>
              <w:t>Fuentes principales</w:t>
            </w:r>
          </w:p>
        </w:tc>
        <w:tc>
          <w:tcPr>
            <w:tcW w:type="dxa" w:w="5227"/>
            <w:vAlign w:val="center"/>
          </w:tcPr>
          <w:p>
            <w:pPr>
              <w:spacing w:after="20"/>
            </w:pPr>
            <w:r>
              <w:rPr>
                <w:rFonts w:ascii="Helvetica Neue" w:hAnsi="Helvetica Neue"/>
                <w:sz w:val="16"/>
              </w:rPr>
              <w:t>Matriz de información de las ocho unidades generadoras, archivos y registros reportados por las áreas, y la base DB_Sistema_Cultura_GTO_V1.</w:t>
            </w:r>
          </w:p>
        </w:tc>
      </w:tr>
      <w:tr>
        <w:tc>
          <w:tcPr>
            <w:tcW w:type="dxa" w:w="5227"/>
            <w:vAlign w:val="center"/>
            <w:shd w:fill="004B87"/>
          </w:tcPr>
          <w:p>
            <w:pPr>
              <w:spacing w:after="20"/>
            </w:pPr>
            <w:r>
              <w:rPr>
                <w:rFonts w:ascii="Helvetica Neue" w:hAnsi="Helvetica Neue"/>
                <w:b/>
                <w:color w:val="FFFFFF"/>
                <w:sz w:val="16"/>
              </w:rPr>
              <w:t>Procedimiento</w:t>
            </w:r>
          </w:p>
        </w:tc>
        <w:tc>
          <w:tcPr>
            <w:tcW w:type="dxa" w:w="5227"/>
            <w:vAlign w:val="center"/>
          </w:tcPr>
          <w:p>
            <w:pPr>
              <w:spacing w:after="20"/>
            </w:pPr>
            <w:r>
              <w:rPr>
                <w:rFonts w:ascii="Helvetica Neue" w:hAnsi="Helvetica Neue"/>
                <w:sz w:val="16"/>
              </w:rPr>
              <w:t>Inventario de fuentes; revisión de formatos, responsables y periodicidad; análisis de duplicidades y vacíos; y pruebas de unicidad, completitud e integridad referencial sobre las tablas disponibles.</w:t>
            </w:r>
          </w:p>
        </w:tc>
      </w:tr>
      <w:tr>
        <w:tc>
          <w:tcPr>
            <w:tcW w:type="dxa" w:w="5227"/>
            <w:vAlign w:val="center"/>
            <w:shd w:fill="004B87"/>
          </w:tcPr>
          <w:p>
            <w:pPr>
              <w:spacing w:after="20"/>
            </w:pPr>
            <w:r>
              <w:rPr>
                <w:rFonts w:ascii="Helvetica Neue" w:hAnsi="Helvetica Neue"/>
                <w:b/>
                <w:color w:val="FFFFFF"/>
                <w:sz w:val="16"/>
              </w:rPr>
              <w:t>Alcance</w:t>
            </w:r>
          </w:p>
        </w:tc>
        <w:tc>
          <w:tcPr>
            <w:tcW w:type="dxa" w:w="5227"/>
            <w:vAlign w:val="center"/>
          </w:tcPr>
          <w:p>
            <w:pPr>
              <w:spacing w:after="20"/>
            </w:pPr>
            <w:r>
              <w:rPr>
                <w:rFonts w:ascii="Helvetica Neue" w:hAnsi="Helvetica Neue"/>
                <w:sz w:val="16"/>
              </w:rPr>
              <w:t>El análisis acredita la estructura y consistencia de los insumos revisados a la fecha de corte. No constituye auditoría forense, dictamen contable ni validación independiente de la ocurrencia material de cada actividad.</w:t>
            </w:r>
          </w:p>
        </w:tc>
      </w:tr>
      <w:tr>
        <w:tc>
          <w:tcPr>
            <w:tcW w:type="dxa" w:w="5227"/>
            <w:vAlign w:val="center"/>
            <w:shd w:fill="004B87"/>
          </w:tcPr>
          <w:p>
            <w:pPr>
              <w:spacing w:after="20"/>
            </w:pPr>
            <w:r>
              <w:rPr>
                <w:rFonts w:ascii="Helvetica Neue" w:hAnsi="Helvetica Neue"/>
                <w:b/>
                <w:color w:val="FFFFFF"/>
                <w:sz w:val="16"/>
              </w:rPr>
              <w:t>Tratamiento de datos globales</w:t>
            </w:r>
          </w:p>
        </w:tc>
        <w:tc>
          <w:tcPr>
            <w:tcW w:type="dxa" w:w="5227"/>
            <w:vAlign w:val="center"/>
          </w:tcPr>
          <w:p>
            <w:pPr>
              <w:spacing w:after="20"/>
            </w:pPr>
            <w:r>
              <w:rPr>
                <w:rFonts w:ascii="Helvetica Neue" w:hAnsi="Helvetica Neue"/>
                <w:sz w:val="16"/>
              </w:rPr>
              <w:t>Cuando un evento masivo no dispone de desglose demográfico, el total se conserva como Dato global. Ese registro cuadra el volumen general, pero debe identificarse como información demográfica no disponible.</w:t>
            </w:r>
          </w:p>
        </w:tc>
      </w:tr>
      <w:tr>
        <w:tc>
          <w:tcPr>
            <w:tcW w:type="dxa" w:w="5227"/>
            <w:vAlign w:val="center"/>
            <w:shd w:fill="004B87"/>
          </w:tcPr>
          <w:p>
            <w:pPr>
              <w:spacing w:after="20"/>
            </w:pPr>
            <w:r>
              <w:rPr>
                <w:rFonts w:ascii="Helvetica Neue" w:hAnsi="Helvetica Neue"/>
                <w:b/>
                <w:color w:val="FFFFFF"/>
                <w:sz w:val="16"/>
              </w:rPr>
              <w:t>Estado de implementación</w:t>
            </w:r>
          </w:p>
        </w:tc>
        <w:tc>
          <w:tcPr>
            <w:tcW w:type="dxa" w:w="5227"/>
            <w:vAlign w:val="center"/>
          </w:tcPr>
          <w:p>
            <w:pPr>
              <w:spacing w:after="20"/>
            </w:pPr>
            <w:r>
              <w:rPr>
                <w:rFonts w:ascii="Helvetica Neue" w:hAnsi="Helvetica Neue"/>
                <w:sz w:val="16"/>
              </w:rPr>
              <w:t>Las funciones descritas como operativas corresponden a los componentes y evidencias entregados para revisión. Su adopción institucional, permisos y calendario de uso requieren validación de la Dirección de Planeación.</w:t>
            </w:r>
          </w:p>
        </w:tc>
      </w:tr>
    </w:tbl>
    <w:p>
      <w:pPr>
        <w:spacing w:after="20"/>
      </w:pPr>
    </w:p>
    <w:p>
      <w:r>
        <w:br w:type="page"/>
      </w:r>
    </w:p>
    <w:p>
      <w:pPr>
        <w:pStyle w:val="Heading1"/>
      </w:pPr>
      <w:r>
        <w:rPr>
          <w:b w:val="0"/>
          <w:i w:val="0"/>
        </w:rPr>
        <w:t>Constancia de entrega para revisión</w:t>
      </w:r>
    </w:p>
    <w:p>
      <w:r>
        <w:rPr>
          <w:b w:val="0"/>
          <w:i w:val="0"/>
        </w:rPr>
        <w:t>La firma de recepción acredita la entrega documental para su revisión. La validación técnica y la aceptación del entregable se formalizarán por la instancia competente.</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vAlign w:val="center"/>
            <w:shd w:fill="004B87"/>
          </w:tcPr>
          <w:p>
            <w:pPr>
              <w:spacing w:after="20"/>
            </w:pPr>
            <w:r>
              <w:rPr>
                <w:rFonts w:ascii="Helvetica Neue" w:hAnsi="Helvetica Neue"/>
                <w:b/>
                <w:color w:val="FFFFFF"/>
                <w:sz w:val="16"/>
              </w:rPr>
              <w:t>Elaboró y Entrega (Prestador de Servicios Profesionales)</w:t>
            </w:r>
          </w:p>
        </w:tc>
        <w:tc>
          <w:tcPr>
            <w:tcW w:type="dxa" w:w="5227"/>
            <w:vAlign w:val="center"/>
            <w:shd w:fill="004B87"/>
          </w:tcPr>
          <w:p>
            <w:pPr>
              <w:spacing w:after="20"/>
            </w:pPr>
            <w:r>
              <w:rPr>
                <w:rFonts w:ascii="Helvetica Neue" w:hAnsi="Helvetica Neue"/>
                <w:b/>
                <w:color w:val="FFFFFF"/>
                <w:sz w:val="16"/>
              </w:rPr>
              <w:t>Recibe para Revisión y Validación (Dependencia Destinataria)</w:t>
            </w:r>
          </w:p>
        </w:tc>
      </w:tr>
      <w:tr>
        <w:trPr>
          <w:cantSplit/>
        </w:trPr>
        <w:tc>
          <w:tcPr>
            <w:tcW w:type="dxa" w:w="5227"/>
            <w:vAlign w:val="center"/>
          </w:tcPr>
          <w:p>
            <w:pPr>
              <w:spacing w:after="20"/>
            </w:pPr>
            <w:r>
              <w:rPr>
                <w:rFonts w:ascii="Helvetica Neue" w:hAnsi="Helvetica Neue"/>
                <w:sz w:val="16"/>
              </w:rPr>
              <w:t>Luis Angel Durán Alvarez Persona Física | Consultoría PULSO Q RFC: DUAL921018QI3 • No. Proveedor (Finanzas GTO): 504898 (Estatus R-2026)</w:t>
            </w:r>
          </w:p>
        </w:tc>
        <w:tc>
          <w:tcPr>
            <w:tcW w:type="dxa" w:w="5227"/>
            <w:vAlign w:val="center"/>
          </w:tcPr>
          <w:p>
            <w:pPr>
              <w:spacing w:after="20"/>
            </w:pPr>
            <w:r>
              <w:rPr>
                <w:rFonts w:ascii="Helvetica Neue" w:hAnsi="Helvetica Neue"/>
                <w:sz w:val="16"/>
              </w:rPr>
              <w:t>Lic. Marcela Chagoya Directora de Planeación Secretaría de Cultura del Estado de Guanajuato Fecha: 19 de octubre de 2026</w:t>
            </w:r>
          </w:p>
        </w:tc>
      </w:tr>
    </w:tbl>
    <w:sectPr w:rsidR="00FC693F" w:rsidRPr="0006063C" w:rsidSect="00034616">
      <w:headerReference w:type="default" r:id="rId9"/>
      <w:footerReference w:type="default" r:id="rId10"/>
      <w:footerReference w:type="first" r:id="rId11"/>
      <w:pgSz w:w="12240" w:h="15840"/>
      <w:pgMar w:top="1368" w:right="893" w:bottom="893" w:left="893" w:header="259"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elvetica Neue" w:hAnsi="Helvetica Neue"/>
        <w:color w:val="63666A"/>
        <w:sz w:val="14"/>
      </w:rPr>
      <w:t>Secretaría de Cultura del Estado de Guanajuato  •  PULSO Q  •  Documento editable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elvetica Neue" w:hAnsi="Helvetica Neue"/>
        <w:color w:val="63666A"/>
        <w:sz w:val="14"/>
      </w:rPr>
      <w:t>Secretaría de Cultura del Estado de Guanajuato  •  PULSO Q  •  Documento editable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27"/>
      <w:gridCol w:w="5227"/>
    </w:tblGrid>
    <w:tr>
      <w:tc>
        <w:tcPr>
          <w:tcW w:type="dxa" w:w="6768"/>
          <w:vAlign w:val="center"/>
          <w:tcBorders>
            <w:bottom w:val="single" w:sz="8" w:color="69B3E7"/>
          </w:tcBorders>
        </w:tcPr>
        <w:p>
          <w:pPr>
            <w:spacing w:after="0"/>
          </w:pPr>
          <w:r>
            <w:drawing>
              <wp:inline xmlns:a="http://schemas.openxmlformats.org/drawingml/2006/main" xmlns:pic="http://schemas.openxmlformats.org/drawingml/2006/picture">
                <wp:extent cx="740161" cy="63093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740161" cy="630936"/>
                        </a:xfrm>
                        <a:prstGeom prst="rect"/>
                      </pic:spPr>
                    </pic:pic>
                  </a:graphicData>
                </a:graphic>
              </wp:inline>
            </w:drawing>
          </w:r>
          <w:r>
            <w:rPr>
              <w:rFonts w:ascii="Helvetica Neue" w:hAnsi="Helvetica Neue"/>
              <w:b/>
              <w:color w:val="004B87"/>
              <w:sz w:val="15"/>
            </w:rPr>
            <w:t xml:space="preserve">   SECRETARÍA DE CULTURA</w:t>
          </w:r>
        </w:p>
      </w:tc>
      <w:tc>
        <w:tcPr>
          <w:tcW w:type="dxa" w:w="3686"/>
          <w:vAlign w:val="center"/>
          <w:tcBorders>
            <w:bottom w:val="single" w:sz="8" w:color="69B3E7"/>
          </w:tcBorders>
        </w:tcPr>
        <w:p>
          <w:pPr>
            <w:spacing w:after="0"/>
            <w:jc w:val="right"/>
          </w:pPr>
          <w:r>
            <w:rPr>
              <w:rFonts w:ascii="Helvetica Neue" w:hAnsi="Helvetica Neue"/>
              <w:b/>
              <w:color w:val="004B87"/>
              <w:sz w:val="18"/>
            </w:rPr>
            <w:t>Dirección de Planeación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Helvetica Neue" w:hAnsi="Helvetica Neu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Neue" w:hAnsi="Helvetica Neue"/>
      <w:b/>
      <w:bCs/>
      <w:color w:val="004B8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Neue" w:hAnsi="Helvetica Neue"/>
      <w:b/>
      <w:bCs/>
      <w:color w:val="004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Neue" w:hAnsi="Helvetica Neue"/>
      <w:b/>
      <w:bCs/>
      <w:color w:val="004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Neue" w:hAnsi="Helvetica Neue"/>
      <w:b/>
      <w:color w:val="004B8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1 Diagnóstico de Información Institucional</dc:title>
  <dc:subject>Entregable editable para revisión y validación</dc:subject>
  <dc:creator>PULSO Q</dc:creator>
  <cp:keywords/>
  <dc:description>generated by python-docx</dc:description>
  <cp:lastModifiedBy/>
  <cp:revision>1</cp:revision>
  <dcterms:created xsi:type="dcterms:W3CDTF">2013-12-23T23:15:00Z</dcterms:created>
  <dcterms:modified xsi:type="dcterms:W3CDTF">2013-12-23T23:15:00Z</dcterms:modified>
  <cp:category/>
</cp:coreProperties>
</file>