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77220" cy="160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7220" cy="160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04B87"/>
        </w:rPr>
        <w:t>Secretaría de Cultura del Estado de Guanajuato</w:t>
      </w:r>
    </w:p>
    <w:p>
      <w:pPr>
        <w:jc w:val="center"/>
      </w:pPr>
      <w:r>
        <w:rPr>
          <w:color w:val="425466"/>
        </w:rPr>
        <w:t>Dirección de Planeación • Sistema de Información Cultural</w:t>
      </w:r>
    </w:p>
    <w:p>
      <w:pPr>
        <w:pStyle w:val="Title"/>
        <w:jc w:val="center"/>
      </w:pPr>
      <w:r>
        <w:t>Entregable 2: Modelo de Información Institucional Diseñado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740610" cy="16001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lso-q-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0610" cy="1600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25466"/>
        </w:rPr>
        <w:t>PULSO Q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10452"/>
            <w:gridSpan w:val="4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Cédula de Control Técnico y Administrativo del Entregable</w:t>
            </w:r>
          </w:p>
        </w:tc>
      </w:tr>
      <w:tr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Servicio Propuesto:</w:t>
            </w:r>
          </w:p>
        </w:tc>
        <w:tc>
          <w:tcPr>
            <w:tcW w:type="dxa" w:w="7839"/>
            <w:gridSpan w:val="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Sistematización de Información Institucional y Diseño Funcional del Sistema de Información Cultural</w:t>
            </w:r>
          </w:p>
        </w:tc>
      </w:tr>
      <w:tr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Objeto de la Propuesta:</w:t>
            </w:r>
          </w:p>
        </w:tc>
        <w:tc>
          <w:tcPr>
            <w:tcW w:type="dxa" w:w="7839"/>
            <w:gridSpan w:val="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Prestación de servicios profesionales para la sistematización, organización, análisis y estructuración de la información institucional de la Secretaría de Cultura, así como para el diseño conceptual y funcional de un Sistema de Información Cultural, que permita integrar, consultar, actualizar y dar seguimiento a información relacionada con programas, proyectos, acciones, beneficiarios, cobertura territorial, infraestructura, indicadores y resultados institucionales, con el propósito de fortalecer los procesos de planeación, seguimiento, evaluación y toma de decisiones.</w:t>
            </w:r>
          </w:p>
        </w:tc>
      </w:tr>
      <w:tr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Sustento Técnico:</w:t>
            </w:r>
          </w:p>
        </w:tc>
        <w:tc>
          <w:tcPr>
            <w:tcW w:type="dxa" w:w="7839"/>
            <w:gridSpan w:val="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Entregable 2: Modelo de información institucional diseñado. Que incluya estructura de datos, variables, catálogos, criterios de clasificación, relaciones entre información y reglas básicas para su integración y actualización.</w:t>
            </w:r>
          </w:p>
        </w:tc>
      </w:tr>
      <w:tr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Dependencia Destinataria: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Secretaría de Cultura del Estado de Guanajuato — Dirección de Planeación</w:t>
            </w:r>
          </w:p>
        </w:tc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Titular / Área Validadora: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Lic. Marcela ChagoyaDirectora de Planeación</w:t>
            </w:r>
          </w:p>
        </w:tc>
      </w:tr>
      <w:tr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Prestador de Servicios: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Luis Angel Durán AlvarezPersona Física | Consultoría PULSO Q</w:t>
            </w:r>
          </w:p>
        </w:tc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Datos Fiscales y Padrón GTO: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RFC: DUAL921018QI3No. Proveedor (Finanzas GTO): 504898 (Estatus R-2026)</w:t>
            </w:r>
          </w:p>
        </w:tc>
      </w:tr>
      <w:tr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Repositorio Auditado: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DB_Sistema_Cultura_GTO_V1 (22 hojas: 18 catálogos + 4 operativas • 0 huérfanos)</w:t>
            </w:r>
          </w:p>
        </w:tc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Fecha de Emisión: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Guanajuato, Gto., a 19 de octubre de 2026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1. Arquitectura Relacional Normalizada en Tercera Forma Normal (3FN) y Relaciones de Datos</w:t>
      </w:r>
    </w:p>
    <w:p>
      <w:r>
        <w:rPr>
          <w:b w:val="0"/>
          <w:i w:val="0"/>
        </w:rPr>
        <w:br/>
        <w:t xml:space="preserve">      Con el propósito de reducir las hojas planas y la duplicidad derivada de la captura manual, se diseñó el modelo institucional sobre la base maestra </w:t>
      </w:r>
      <w:r>
        <w:rPr>
          <w:rFonts w:ascii="Consolas" w:hAnsi="Consolas"/>
          <w:b w:val="0"/>
          <w:i w:val="0"/>
          <w:sz w:val="16"/>
        </w:rPr>
        <w:t>DB_Sistema_Cultura_GTO_V1</w:t>
      </w:r>
      <w:r>
        <w:rPr>
          <w:b w:val="0"/>
          <w:i w:val="0"/>
        </w:rPr>
        <w:t xml:space="preserve"> con criterios de normalización. El inventario documentado suma </w:t>
      </w:r>
      <w:r>
        <w:rPr>
          <w:b/>
          <w:i w:val="0"/>
        </w:rPr>
        <w:t>22 hojas</w:t>
      </w:r>
      <w:r>
        <w:rPr>
          <w:b w:val="0"/>
          <w:i w:val="0"/>
        </w:rPr>
        <w:t xml:space="preserve">, distribuidas en tres capas: (1) </w:t>
      </w:r>
      <w:r>
        <w:rPr>
          <w:b/>
          <w:i w:val="0"/>
        </w:rPr>
        <w:t>18 catálogos maestros cerrados</w:t>
      </w:r>
      <w:r>
        <w:rPr>
          <w:b w:val="0"/>
          <w:i w:val="0"/>
        </w:rPr>
        <w:t xml:space="preserve">, (2) una </w:t>
      </w:r>
      <w:r>
        <w:rPr>
          <w:b/>
          <w:i w:val="0"/>
        </w:rPr>
        <w:t>entidad padre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6"/>
        </w:rPr>
        <w:t>Registro_Actividades</w:t>
      </w:r>
      <w:r>
        <w:rPr>
          <w:b w:val="0"/>
          <w:i w:val="0"/>
        </w:rPr>
        <w:t xml:space="preserve"> con 72 atributos) y (3) </w:t>
      </w:r>
      <w:r>
        <w:rPr>
          <w:b/>
          <w:i w:val="0"/>
        </w:rPr>
        <w:t>tres entidades hijas con relación uno a muchos (</w:t>
      </w:r>
      <w:r>
        <w:rPr>
          <w:rFonts w:ascii="Consolas" w:hAnsi="Consolas"/>
          <w:b/>
          <w:i w:val="0"/>
          <w:sz w:val="16"/>
        </w:rPr>
        <w:t>1:N</w:t>
      </w:r>
      <w:r>
        <w:rPr>
          <w:b/>
          <w:i w:val="0"/>
        </w:rPr>
        <w:t>)</w:t>
      </w:r>
      <w:r>
        <w:rPr>
          <w:b w:val="0"/>
          <w:i w:val="0"/>
        </w:rPr>
        <w:t xml:space="preserve">. Los campos estratégicos visibles en la entidad padre se obtienen mediante referencias al catálogo rector; no constituyen duplicación física del dato maestro. La revisión de las relaciones reporta </w:t>
      </w:r>
      <w:r>
        <w:rPr>
          <w:b/>
          <w:i w:val="0"/>
        </w:rPr>
        <w:t>0 registros huérfanos</w:t>
      </w:r>
      <w:r>
        <w:rPr>
          <w:b w:val="0"/>
          <w:i w:val="0"/>
        </w:rPr>
        <w:t xml:space="preserve"> en el corte analizado:</w:t>
        <w:br/>
        <w:t xml:space="preserve">  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Capa 1: Gobernanza de Catálogos (18 Tablas)Listas Cerradas de Validación</w:t>
            </w:r>
          </w:p>
        </w:tc>
        <w:tc>
          <w:tcPr>
            <w:tcW w:type="dxa" w:w="3485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Capa 2: Entidad Transaccional Padre (1)Ficha Única de la Actividad Cultural</w:t>
            </w:r>
          </w:p>
        </w:tc>
        <w:tc>
          <w:tcPr>
            <w:tcW w:type="dxa" w:w="3485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Capa 3: Entidades Hijas Relacionales (1:N)Integridad Referencial Auditada: 100.0%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1. Cat_Alineacion (99 Metas / 34 Procesos) • PK: ID_Alineacion (1 al 99) • Clave_Proceso (PB3572, QC4102, etc.) • Area, Direccion, Nombre_Meta • Unidad_Medida, Meta_Anual • Eje_PG, Objetivo_PG, Linea_PEC 2. 17 Catálogos Operativos Cerrados • Geográficos: Cat_Municipio (46 municipios oficiales), Cat_Comunidades_Limpio (239 polígonos ZAP), Cat_Comunidades (171), Cat_Tipo_Asentamiento (3). Las sedes fuera de Guanajuato se registran en un catálogo independiente de ubicaciones externas. • Sustantivos: Cat_Disciplina (82), Cat_Actividades (84), Cat_Tipo_Actividad (87), Cat_Recintos (27), Cat_Tipo_Espacio (7), Cat_Enfoque (2), Cat_Formato (3), Cat_Costo (2), Cat_Agentes_Culturales (28), Cat_Indicadores (9). • Demográficos: Cat_Grupo_Etario (7), Cat_Genero (5), Cat_Grupo_Prioritario (9).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Entidad Padre: Registro_Actividades (72 Atributos) • Llave Primaria (PK): ID_Actividad (ACT00001..ACT00573) • Llave Foránea (FK): ID_Alineacion → Cat_Alineacion.ID_Alineacion; Clave_Proceso se obtiene del registro rector. • Trazabilidad y Sello de Auditoría: Folio (SC-YYMMDD-HHMMSS), Fecha_Captura, Usuario_Registra (@guanajuato.gob.mx), Estado_Actividad. • Herencia Estratégica Automática (15 columnas por Dereference): Subsecretaría, Dirección General, Meta Anual, Promesa Nuevo Comienzo, Eje PG, Objetivo PG, Estrategia PG, Acciones PG, Eje Transversal PEC, Línea PEC, Estrategia PEC, Acciones PEC, Metas PEC. • Atributos Sustantivos: Enfoque_Actividad, Nombre_Actividad, Descripcion_Breve, Temporalidad, Fecha_Inicio, Fecha_Fin, Total_Sesiones (1,797 sesiones), Disciplina, Subdisciplina, Tipo_Actividad, Formato, Nombre_Espacio. • Finanzas y Agentes: Costo, Monto_Ingreso, Monto_Total_Contratado, Cantidad_Agentes.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Hija 1: Registro_Territorio (563 Filas • 16 Cols) • PK: ID_Territorio | FK: ID_Actividad • Municipio, Tipo_Asentamiento, Nombre_Comunidad_Final • ZAP_Nuevo_Comienzo (Si/No), ZAP_SSyP (Si/No) • Cantidad_Participacion + Cantidad_Acceso = Cantidad • Volumen: 349,183 | 0 registros huérfanos. Hija 2: Registro_Poblacion (1,033 Filas • 8 Cols) • PK: ID_Poblacion | FK: ID_Actividad • Grupo_Etario, Genero, Grupo_Prioritario • Cantidad_Participacion + Cantidad_Acceso = Cantidad_Poblacion • Volumen: 304,626 | 0 registros huérfanos. Hija 3: Registro_Evidencia (289 Filas • 5 Cols) • PK: ID_Evidencia | FK: ID_Actividad • Archivo_Evidencia (Ruta Drive), Tipo_Evidencia, Descripcion • 289 expedientes | 0 registros huérfanos.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49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4"/>
              </w:rPr>
              <w:t>Entidad Relacional</w:t>
            </w:r>
          </w:p>
        </w:tc>
        <w:tc>
          <w:tcPr>
            <w:tcW w:type="dxa" w:w="149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4"/>
              </w:rPr>
              <w:t>Rol en Modelo 3FN</w:t>
            </w:r>
          </w:p>
        </w:tc>
        <w:tc>
          <w:tcPr>
            <w:tcW w:type="dxa" w:w="149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4"/>
              </w:rPr>
              <w:t>Llave Primaria (PK)</w:t>
            </w:r>
          </w:p>
        </w:tc>
        <w:tc>
          <w:tcPr>
            <w:tcW w:type="dxa" w:w="149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4"/>
              </w:rPr>
              <w:t>Llave Foránea (FK)</w:t>
            </w:r>
          </w:p>
        </w:tc>
        <w:tc>
          <w:tcPr>
            <w:tcW w:type="dxa" w:w="149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4"/>
              </w:rPr>
              <w:t>Atributos</w:t>
            </w:r>
          </w:p>
        </w:tc>
        <w:tc>
          <w:tcPr>
            <w:tcW w:type="dxa" w:w="149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4"/>
              </w:rPr>
              <w:t>Filas</w:t>
            </w:r>
          </w:p>
        </w:tc>
        <w:tc>
          <w:tcPr>
            <w:tcW w:type="dxa" w:w="149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4"/>
              </w:rPr>
              <w:t>Dictamen de Integridad Referencial</w:t>
            </w:r>
          </w:p>
        </w:tc>
      </w:tr>
      <w:tr>
        <w:tc>
          <w:tcPr>
            <w:tcW w:type="dxa" w:w="149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Registro_Actividades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Entidad Padre Maestra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ID_Actividad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Clave_Proceso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72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573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100.0% Íntegra (Folios únicos ACT00001..ACT00573)</w:t>
            </w:r>
          </w:p>
        </w:tc>
      </w:tr>
      <w:tr>
        <w:tc>
          <w:tcPr>
            <w:tcW w:type="dxa" w:w="149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Registro_Territorio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Entidad Hija (1:N)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ID_Territorio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ID_Actividad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16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563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100.0% Íntegra (0 huérfanos • 349,183 alcance)</w:t>
            </w:r>
          </w:p>
        </w:tc>
      </w:tr>
      <w:tr>
        <w:tc>
          <w:tcPr>
            <w:tcW w:type="dxa" w:w="149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Registro_Poblacion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Entidad Hija (1:N)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ID_Poblacion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ID_Actividad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8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1,033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100.0% Íntegra (0 huérfanos • 304,626 personas)</w:t>
            </w:r>
          </w:p>
        </w:tc>
      </w:tr>
      <w:tr>
        <w:tc>
          <w:tcPr>
            <w:tcW w:type="dxa" w:w="149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Registro_Evidencia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Entidad Hija (1:N)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ID_Evidencia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ID_Actividad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5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289</w:t>
            </w:r>
          </w:p>
        </w:tc>
        <w:tc>
          <w:tcPr>
            <w:tcW w:type="dxa" w:w="149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100.0% Íntegra (0 huérfanos • Vínculos a Google Drive)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2. Criterios de Clasificación Institucional y Diccionario de Variables Clave</w:t>
      </w:r>
    </w:p>
    <w:p>
      <w:r>
        <w:rPr>
          <w:b w:val="0"/>
          <w:i w:val="0"/>
        </w:rPr>
        <w:br/>
        <w:t xml:space="preserve">      El modelo incorpora cuatro criterios rectores de clasificación programática y estadística que permiten evaluar con precisión el cumplimiento de las </w:t>
      </w:r>
      <w:r>
        <w:rPr>
          <w:b/>
          <w:i w:val="0"/>
        </w:rPr>
        <w:t>99 metas anuales</w:t>
      </w:r>
      <w:r>
        <w:rPr>
          <w:b w:val="0"/>
          <w:i w:val="0"/>
        </w:rPr>
        <w:t xml:space="preserve"> y los </w:t>
      </w:r>
      <w:r>
        <w:rPr>
          <w:b/>
          <w:i w:val="0"/>
        </w:rPr>
        <w:t>34 procesos estratégicos</w:t>
      </w:r>
      <w:r>
        <w:rPr>
          <w:b w:val="0"/>
          <w:i w:val="0"/>
        </w:rPr>
        <w:t xml:space="preserve"> sin incurrir en sumatorias heterogéneas ni distorsiones metodológicas:</w:t>
        <w:br/>
        <w:t xml:space="preserve">  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Criterio de Clasificación</w:t>
            </w:r>
          </w:p>
        </w:tc>
        <w:tc>
          <w:tcPr>
            <w:tcW w:type="dxa" w:w="3485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Variables Físicas del Modelo</w:t>
            </w:r>
          </w:p>
        </w:tc>
        <w:tc>
          <w:tcPr>
            <w:tcW w:type="dxa" w:w="3485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Regla de Clasificación y Tratamiento en el Motor Analítico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1. Unidades de Medida de Metas (ACTIVIDADES, PERSONAS, METROS)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Cat_Alineacion.Unidad_MedidaCat_Alineacion.Meta_Anual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Clasifica las 99 metas institucionales en tres dominios matemáticos mutuamente excluyentes mediante la función getUnitCategory():• ACTIVIDADES: Metas expresadas en eventos, acciones, talleres, exposiciones o producciones (6,535 actividades programadas en el ejercicio), evaluadas por conteo de folios únicos (COUNT(ID_Actividad)).• PERSONAS: Metas expresadas en asistentes, alumnos o beneficiarios, evaluadas mediante la sumatoria de alcance (SUM(Cantidad)).• METROS: Metas de conservación e infraestructura patrimonial medidas en metros cuadrados intervenidos.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2. Modalidad de Alcance: Acceso vs. Participación Activa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Cantidad_ParticipacionCantidad_AccesoCantidad / Cantidad_Poblacion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Separa desde el registro primario el grado de involucramiento ciudadano:• Acceso Cultural (Cantidad_Acceso = 344,037; 98.52%): Público espectador o visitante en conciertos, funciones escénicas, exposiciones museísticas, ferias del libro y zonas arqueológicas.• Participación Activa (Cantidad_Participacion = 5,146; 1.48%): Personas inscritas en procesos formativos, talleres continuos, diplomados (CEARG), laboratorios creativos y agrupaciones comunitarias.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3. Vocación Sustantiva: Enfoque Cultural vs. Artístico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Enfoque_ActividadDisciplina / Subdisciplina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Clasifica toda acción registrada bajo dos vertientes complementarias del catálogo Cat_Enfoque:• Enfoque Cultural: Acciones de desarrollo cultural comunitario, salvaguardia del patrimonio, memoria histórica, fomento a la lectura y reconstrucción del tejido social.• Enfoque Artístico: Procesos de creación, producción escénica, perfeccionamiento técnico y exhibición de bellas artes.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4. Criterio Geoespacial y Marcaje de Polígonos ZAP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Municipio, Tipo_Asentamiento,ZAP_Nuevo_Comienzo,ZAP_SSyP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Vincula cada sede con el catálogo de los 46 municipios oficiales del Estado de Guanajuato (GTO_COORDS) distinguiéndolos de sedes de circulación nacional foránea (isMunicipioGTO), clasifica el ámbito (Urbano, Periurbano, Rural) y asigna automáticamente el marcaje booleano (Si / No) cuando la localidad pertenece a una Zona de Atención Prioritaria Nuevo Comienzo o de la Secretaría de Seguridad y Paz (SSyP).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3. Gobernanza y Diccionario de los 18 Catálogos Maestros Homologados</w:t>
      </w:r>
    </w:p>
    <w:p>
      <w:r>
        <w:rPr>
          <w:b w:val="0"/>
          <w:i w:val="0"/>
        </w:rPr>
        <w:br/>
        <w:t xml:space="preserve">      La totalidad de las listas desplegables del sistema se encuentra gobernada por </w:t>
      </w:r>
      <w:r>
        <w:rPr>
          <w:b/>
          <w:i w:val="0"/>
        </w:rPr>
        <w:t>18 Catálogos Maestros Cerrados</w:t>
      </w:r>
      <w:r>
        <w:rPr>
          <w:b w:val="0"/>
          <w:i w:val="0"/>
        </w:rPr>
        <w:t xml:space="preserve"> alojados en </w:t>
      </w:r>
      <w:r>
        <w:rPr>
          <w:rFonts w:ascii="Consolas" w:hAnsi="Consolas"/>
          <w:b w:val="0"/>
          <w:i w:val="0"/>
          <w:sz w:val="16"/>
        </w:rPr>
        <w:t>DB_Sistema_Cultura_GTO_V1</w:t>
      </w:r>
      <w:r>
        <w:rPr>
          <w:b w:val="0"/>
          <w:i w:val="0"/>
        </w:rPr>
        <w:t>, cuya administración y actualización corresponde exclusivamente a la Dirección de Planeación:</w:t>
        <w:br/>
        <w:t xml:space="preserve">  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4"/>
              </w:rPr>
              <w:t>N°</w:t>
            </w:r>
          </w:p>
        </w:tc>
        <w:tc>
          <w:tcPr>
            <w:tcW w:type="dxa" w:w="2091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4"/>
              </w:rPr>
              <w:t>Nombre del Catálogo</w:t>
            </w:r>
          </w:p>
        </w:tc>
        <w:tc>
          <w:tcPr>
            <w:tcW w:type="dxa" w:w="2091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4"/>
              </w:rPr>
              <w:t>Registros</w:t>
            </w:r>
          </w:p>
        </w:tc>
        <w:tc>
          <w:tcPr>
            <w:tcW w:type="dxa" w:w="2091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4"/>
              </w:rPr>
              <w:t>Llave Primaria y Atributos del Catálogo</w:t>
            </w:r>
          </w:p>
        </w:tc>
        <w:tc>
          <w:tcPr>
            <w:tcW w:type="dxa" w:w="2091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4"/>
              </w:rPr>
              <w:t>Función de Gobernanza y Relación en el Sistema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01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Cat_Alineacion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99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ID_Alineacion (PK), Clave_Proceso, Area, Direccion, Meta, Nombre_Meta, Unidad_Medida, Meta_Anual, Promesa_NC, Eje_PG.. Metas_PEC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Catálogo rector que articula las 99 metas anuales y los 34 procesos presupuestales con el Programa de Gobierno 2024–2030 y el Programa Estatal de Cultura (PEC).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02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Cat_Disciplina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82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ID_Disciplina (PK), Disciplina, Subdisciplina, Tipo_Actividad, Proceso_Institucional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Gobierna la cascada jerárquica entre disciplina artística, subdisciplina y formato operativo en Registro_Actividades.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03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Cat_Actividades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84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ID_Actividad (PK), Actividad, Tipo_Actividad, Tipo_Proceso_Formacion.. Tipo_Vinculacion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Parametriza las reglas de activación condicional para procesos formativos, apoyos a agentes, circulación y convenios.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04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Cat_Tipo_Actividad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87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Tipo_Actividad (PK)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Catálogo controlado de 87 formatos de acción cultural (Taller, Concierto, Exposición, Función, Diplomado, Festival, etc.).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05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Cat_Recintos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27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ID_Recinto (PK), Nombre_Recinto, Tipo_Espacio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Padrón oficial estandarizado de los 27 museos, teatros, zonas arqueológicas, bibliotecas y centros culturales del Estado.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06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Cat_Tipo_Espacio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7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Tipo_Espacio (PK)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Clasifica la adscripción del espacio físico (A Cargo de la Secretaría, Espacio Público, Centro Nuevo Comienzo, etc.).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07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Cat_Agentes_Culturales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28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ID_Agente (PK), Categoria_Principal, Tipo_Agente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Clasifica el padrón de artistas, creadores, talleristas, gestores y colectivos contratados o beneficiados.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08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Cat_Indicadores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9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ID_Indicador (PK), Clave_Indicador, Nombre_Indicador, Unidad_Medida, Activo, Instrumento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Catálogo normativo de indicadores estratégicos y de gestión vinculados al seguimiento institucional.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09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Cat_Enfoque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2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ID_Enfoque (PK), Enfoque_Actividad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Clasificación sustantiva superior: Artística y Cultural.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10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Cat_Formato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3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Formato (PK)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Modalidad de realización: Presencial, Virtual e Híbrido.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11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Cat_Costo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2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Costo (PK)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Condición de acceso ciudadano: Sin costo (gratuidad) vs. Con cuota de recuperación.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12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Cat_Grupo_Etario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7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Grupo_Etario (PK)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Cortes etarios por ciclo de vida desde Primera Infancia (0 a 5 años) hasta Adultos Mayores (60+) y categoría controlada Dato global.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13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Cat_Genero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5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Genero (PK)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Categorías: Mujer, Hombre, No binario, Dato global, No se cuenta con el dato.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14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Cat_Grupo_Prioritario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9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Grupo_Prioritario (PK)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Población de atención prioritaria (NNA, Personas con Discapacidad, Pueblos Indígenas, Adultos Mayores, Ninguno, etc.).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15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Cat_Tipo_Asentamiento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3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Tipo_Asentamiento (PK)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Tipología territorial de la localidad intervenida: Urbano, Periurbano y Rural.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16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Cat_Municipio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46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Municipio (PK)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Los 46 municipios constitucionales del Estado de Guanajuato, integrados en GTO_COORDS. Las sedes fuera del estado se administran en un catálogo independiente de ubicaciones externas.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17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Cat_Comunidades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171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ID_Comunidad (PK), Municipio, Comunidad, Zap_Nuevo_Comienzo, ZAP_SSyP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Catálogo base de localidades y colonias con referencia de polígono prioritario.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18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Cat_Comunidades_Limpio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239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ID_Comunidad (PK), Municipio, Comunidad, Zap_Nuevo_Comienzo, ZAP_NC_SI/NO, ZAP_SSyP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Catálogo normalizado con banderas booleanas (Si / No) para georreferenciación automática de polígonos ZAP.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4. Decálogo de Reglas Básicas de Negocio para la Integración y Actualización</w:t>
      </w:r>
    </w:p>
    <w:p>
      <w:r>
        <w:rPr>
          <w:b w:val="0"/>
          <w:i w:val="0"/>
        </w:rPr>
        <w:br/>
        <w:t xml:space="preserve">      En cumplimiento de la parte final del numeral 2 de la propuesta técnica, se define el </w:t>
      </w:r>
      <w:r>
        <w:rPr>
          <w:b/>
          <w:i w:val="0"/>
        </w:rPr>
        <w:t>Decálogo Técnico Operativo de Reglas de Negocio (</w:t>
      </w:r>
      <w:r>
        <w:rPr>
          <w:rFonts w:ascii="Consolas" w:hAnsi="Consolas"/>
          <w:b/>
          <w:i w:val="0"/>
          <w:sz w:val="16"/>
        </w:rPr>
        <w:t>RN-01</w:t>
      </w:r>
      <w:r>
        <w:rPr>
          <w:b/>
          <w:i w:val="0"/>
        </w:rPr>
        <w:t xml:space="preserve"> a </w:t>
      </w:r>
      <w:r>
        <w:rPr>
          <w:rFonts w:ascii="Consolas" w:hAnsi="Consolas"/>
          <w:b/>
          <w:i w:val="0"/>
          <w:sz w:val="16"/>
        </w:rPr>
        <w:t>RN-10</w:t>
      </w:r>
      <w:r>
        <w:rPr>
          <w:b/>
          <w:i w:val="0"/>
        </w:rPr>
        <w:t>)</w:t>
      </w:r>
      <w:r>
        <w:rPr>
          <w:b w:val="0"/>
          <w:i w:val="0"/>
        </w:rPr>
        <w:t xml:space="preserve"> que rige la captura, validación, integración y actualización del Sistema de Información Cultural:</w:t>
        <w:br/>
        <w:t xml:space="preserve">  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485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Regla de Negocio Institucional</w:t>
            </w:r>
          </w:p>
        </w:tc>
        <w:tc>
          <w:tcPr>
            <w:tcW w:type="dxa" w:w="3485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Especificación Normativa y Mecanismo Técnico de Aplicación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RN-01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Cuadre Obligatorio (Territorio == Demografía)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Para todo folio ID_Actividad, la sumatoria de Registro_Territorio.Cantidad debe ser idéntica a la sumatoria de Registro_Poblacion.Cantidad_Poblacion. Cualquier variación (Δ ≠ 0, como los -44,557 registros detectados en la auditoría inicial) es aislada automáticamente en el Módulo de Conciliación Operativa (Vista 6) para su corrección antes del corte mensual.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RN-02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Uso Controlado de "Dato Global" en Eventos Masivos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Cuando un evento masivo no disponga de desglose demográfico, el enlace registra el total como "Dato global", lo marca expresamente como información demográfica no disponible y adjunta la evidencia de aforo. Su uso o corrección requiere validación del titular del área dueña del dato y deja bitácora de usuario, fecha y motivo; no se inventan distribuciones.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RN-03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Integridad Referencial Estricta (100% IsPartOf)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Ningún registro hijo en Registro_Territorio, Registro_Poblacion o Registro_Evidencia puede crearse ni subsistir sin una llave foránea ID_Actividad válida en Registro_Actividades. La eliminación o anulación de una ficha padre propaga su estado en cascada, garantizando cero registros huérfanos.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RN-04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Herencia Estratégica Automática por Clave_Proceso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El usuario operativo selecciona únicamente su Proceso y Meta Anual desde Cat_Alineacion; las 15 columnas de alineación estratégica (Subsecretaría, Dirección General, Unidad de Medida, Meta Anual, Promesa Nuevo Comienzo, Ejes y Líneas PG/PEC) se asignan por referencia (Dereference) con bloqueo total de edición manual.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RN-05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Prohibición Absoluta de Texto Libre en Catálogos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Queda prohibida la captura libre en atributos de municipio, comunidad ZAP, recinto, disciplina, subdisciplina, tipo de actividad, género y grupo etario. Toda entrada se valida mediante reglas Valid_If conectadas a los 18 Catálogos Maestros, erradicando variantes ortográficas.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RN-06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Separación Estricta entre Acceso y Participación Activa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En cada fila territorial y demográfica se capturan por separado Cantidad_Participacion (procesos formativos y comunitarios continuos) y Cantidad_Acceso (público espectador o visitante), calculando mediante fórmula protegida el total (Cantidad = Cantidad_Participacion + Cantidad_Acceso).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RN-07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Separación entre Sesiones y Personas Únicas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El número de sesiones o funciones realizadas se registra exclusivamente en el atributo Total_Sesiones de la tabla padre Registro_Actividades, mientras que en Registro_Territorio y Registro_Poblacion se reporta el padrón real de personas atendidas, evitando multiplicar un mismo alumno por sus asistencias del mes.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RN-08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Trazabilidad Documental Obligatoria en Google Drive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Toda actividad ejecutada debe vincular al menos un expediente probatorio en Registro_Evidencia (fotografía, lista de asistencia en PDF o carpeta ZIP) alojado en la ruta institucional Registro_Evidencia_Files_ de Google Drive. Las actividades sin soporte son señaladas automáticamente en la Vista 5 del Tablero.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RN-09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Sincronización Diferida Homologada para Zonas Offline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Los Centros de Atención a Visitantes (CAV) y zonas arqueológicas sin conectividad capturan en la Plantilla Maestra Offline Protegida (que replica exactamente la estructura de llaves y listas de los 18 catálogos) para su ingesta semanal sin recaptura manual.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RN-10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Sello de Auditoría e Inmutabilidad de Corte Mensual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Todo registro genera automáticamente su Folio temporal, Fecha_Captura y correo institucional Usuario_Registra. Una vez conciliado el mes (días 1 al 5 del mes siguiente) y emitida la Presentación Ejecutiva oficial (.pptx), el corte mensual queda cerrado para garantizar estabilidad estadística.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Constancia de entrega para revisión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/>
        </w:trPr>
        <w:tc>
          <w:tcPr>
            <w:tcW w:type="dxa" w:w="5227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Elaboró y Entrega (Prestador de Servicios Profesionales)</w:t>
            </w:r>
          </w:p>
        </w:tc>
        <w:tc>
          <w:tcPr>
            <w:tcW w:type="dxa" w:w="5227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Recibe para Revisión y Validación (Dependencia Destinataria)</w:t>
            </w:r>
          </w:p>
        </w:tc>
      </w:tr>
      <w:tr>
        <w:trPr>
          <w:cantSplit/>
        </w:trPr>
        <w:tc>
          <w:tcPr>
            <w:tcW w:type="dxa" w:w="5227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Luis Angel Durán Alvarez Persona Física | Consultoría PULSO Q RFC: DUAL921018QI3 • No. Proveedor (Finanzas GTO): 504898 (Estatus R-2026)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Lic. Marcela Chagoya Directora de Planeación Secretaría de Cultura del Estado de Guanajuato Fecha: 19 de octubre de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368" w:right="893" w:bottom="893" w:left="893" w:header="259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lvetica Neue" w:hAnsi="Helvetica Neue"/>
        <w:color w:val="63666A"/>
        <w:sz w:val="14"/>
      </w:rPr>
      <w:t>Secretaría de Cultura del Estado de Guanajuato  •  PULSO Q  •  Documento editable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lvetica Neue" w:hAnsi="Helvetica Neue"/>
        <w:color w:val="63666A"/>
        <w:sz w:val="14"/>
      </w:rPr>
      <w:t>Secretaría de Cultura del Estado de Guanajuato  •  PULSO Q  •  Documento editable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227"/>
      <w:gridCol w:w="5227"/>
    </w:tblGrid>
    <w:tr>
      <w:tc>
        <w:tcPr>
          <w:tcW w:type="dxa" w:w="6768"/>
          <w:vAlign w:val="center"/>
          <w:tcBorders>
            <w:bottom w:val="single" w:sz="8" w:color="69B3E7"/>
          </w:tcBorders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740161" cy="63093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0161" cy="63093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Helvetica Neue" w:hAnsi="Helvetica Neue"/>
              <w:b/>
              <w:color w:val="004B87"/>
              <w:sz w:val="15"/>
            </w:rPr>
            <w:t xml:space="preserve">   SECRETARÍA DE CULTURA</w:t>
          </w:r>
        </w:p>
      </w:tc>
      <w:tc>
        <w:tcPr>
          <w:tcW w:type="dxa" w:w="3686"/>
          <w:vAlign w:val="center"/>
          <w:tcBorders>
            <w:bottom w:val="single" w:sz="8" w:color="69B3E7"/>
          </w:tcBorders>
        </w:tcPr>
        <w:p>
          <w:pPr>
            <w:spacing w:after="0"/>
            <w:jc w:val="right"/>
          </w:pPr>
          <w:r>
            <w:rPr>
              <w:rFonts w:ascii="Helvetica Neue" w:hAnsi="Helvetica Neue"/>
              <w:b/>
              <w:color w:val="004B87"/>
              <w:sz w:val="18"/>
            </w:rPr>
            <w:t>Dirección de Planeación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Helvetica Neue" w:hAnsi="Helvetica Neu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lvetica Neue" w:hAnsi="Helvetica Neue"/>
      <w:b/>
      <w:bCs/>
      <w:color w:val="004B8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lvetica Neue" w:hAnsi="Helvetica Neue"/>
      <w:b/>
      <w:bCs/>
      <w:color w:val="004B8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lvetica Neue" w:hAnsi="Helvetica Neue"/>
      <w:b/>
      <w:bCs/>
      <w:color w:val="004B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lvetica Neue" w:hAnsi="Helvetica Neue"/>
      <w:b/>
      <w:color w:val="004B8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2 — Modelo de Información Institucional Diseñado | Secretaría de Cultura de Guanajuato</dc:title>
  <dc:subject>Entregable editable para revisión y validación</dc:subject>
  <dc:creator>PULSO 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