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7722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722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4B87"/>
        </w:rPr>
        <w:t>Secretaría de Cultura del Estado de Guanajuato</w:t>
      </w:r>
    </w:p>
    <w:p>
      <w:pPr>
        <w:jc w:val="center"/>
      </w:pPr>
      <w:r>
        <w:rPr>
          <w:color w:val="425466"/>
        </w:rPr>
        <w:t>Dirección de Planeación • Sistema de Información Cultural</w:t>
      </w:r>
    </w:p>
    <w:p>
      <w:pPr>
        <w:pStyle w:val="Title"/>
        <w:jc w:val="center"/>
      </w:pPr>
      <w:r>
        <w:t>Entregable 4: Mapa de Procesos y Flujos de Información Elaborado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740610" cy="1600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lso-q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0610" cy="160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25466"/>
        </w:rPr>
        <w:t>PULSO Q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0452"/>
            <w:gridSpan w:val="4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Cédula de Control Técnico y Administrativo del Entregable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Servicio Propuesto: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Sistematización de Información Institucional y Diseño Funcional del Sistema de Información Cultural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Objeto de la Propuesta: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Prestación de servicios profesionales para la sistematización, organización, análisis y estructuración de la información institucional de la Secretaría de Cultura, así como para el diseño conceptual y funcional de un Sistema de Información Cultural, que permita integrar, consultar, actualizar y dar seguimiento a información relacionada con programas, proyectos, acciones, beneficiarios, cobertura territorial, infraestructura, indicadores y resultados institucionales, con el propósito de fortalecer los procesos de planeación, seguimiento, evaluación y toma de decisiones.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Sustento Técnico:</w:t>
            </w:r>
          </w:p>
        </w:tc>
        <w:tc>
          <w:tcPr>
            <w:tcW w:type="dxa" w:w="7839"/>
            <w:gridSpan w:val="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Entregable 4: Mapa de procesos y flujos de información elaborado. Identificando áreas generadoras de información, responsables, mecanismos de captura, validación, actualización y consulta.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Dependencia Destinataria: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Secretaría de Cultura del Estado de Guanajuato — Dirección de Planeación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Titular / Área Validadora: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ChagoyaDirectora de Planeación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Prestador de Servicios: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Angel Durán AlvarezPersona Física | Consultoría PULSO Q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Datos Fiscales y Padrón GTO: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RFC: DUAL921018QI3No. Proveedor (Finanzas GTO): 504898 (Estatus R-2026)</w:t>
            </w:r>
          </w:p>
        </w:tc>
      </w:tr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Alcance Operativo: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8 Áreas Generadoras • Flujo en 4 Fases • Matriz RACI y Protocolos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Fecha de Emisión: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Guanajuato, Gto., a 19 de octubre de 2026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1. Arquitectura del Flujo Operativo de Información en 4 Fases</w:t>
      </w:r>
    </w:p>
    <w:p>
      <w:r>
        <w:rPr>
          <w:b w:val="0"/>
          <w:i w:val="0"/>
        </w:rPr>
        <w:br/>
        <w:t xml:space="preserve">      En cumplimiento del numeral 4 de la propuesta técnica, se documenta el mapa integral de procesos y flujos de información que articula a las </w:t>
      </w:r>
      <w:r>
        <w:rPr>
          <w:b/>
          <w:i w:val="0"/>
        </w:rPr>
        <w:t>8 áreas generadoras</w:t>
      </w:r>
      <w:r>
        <w:rPr>
          <w:b w:val="0"/>
          <w:i w:val="0"/>
        </w:rPr>
        <w:t xml:space="preserve"> con la </w:t>
      </w:r>
      <w:r>
        <w:rPr>
          <w:b/>
          <w:i w:val="0"/>
        </w:rPr>
        <w:t>Dirección de Planeación</w:t>
      </w:r>
      <w:r>
        <w:rPr>
          <w:b w:val="0"/>
          <w:i w:val="0"/>
        </w:rPr>
        <w:t xml:space="preserve">. Participan: Desarrollo Cultural Municipal; Vinculación y Redes Culturales; Patrimonio Cultural; Museos, Artes Visuales y Exposiciones; Producción Artística; Forum Cultural Guanajuato; Editorial y Publicaciones; y Formación e Investigación. El flujo se estructura en </w:t>
      </w:r>
      <w:r>
        <w:rPr>
          <w:b/>
          <w:i w:val="0"/>
        </w:rPr>
        <w:t>cuatro fases operativas secuenciales</w:t>
      </w:r>
      <w:r>
        <w:rPr>
          <w:b w:val="0"/>
          <w:i w:val="0"/>
        </w:rPr>
        <w:t>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1: Captura en Origen(AppSheet + Plantilla Offline)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2: Persistencia y Validación(Google Sheets + Drive)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3: Actualización y Consulta(Tablero Web SPA • 6 Vistas)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4: Conciliación y Salida(Vista 6 CSV + Exportador PPTX)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8 Unidades Generadoras • Captura Conectada (AppSheet Móvil/Web): Formulario relacional para enlaces operativos con validación Valid_If al momento de guardar y sincronizar. • Captura Offline (Zonas sin Internet): Plantilla Maestra Protegida para Centros de Atención a Visitantes (CAV) y Zonas Arqueológicas de Patrimonio Cultural. • Herencia Automática: Selección de meta en Cat_Alineacion y autocompletado de 15 campos estratégicos.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Motor Relacional en Nube • Base Maestra (DB_Sistema_Cultura_GTO_V1): Inserción en 3FN sobre Registro_Actividades (PK ID_Actividad) y sus 3 tablas hijas 1:N. • Sello de Auditoría: Registro automático de Folio, Fecha_Captura y correo Usuario_Registra. • Repositorio Probatorio: Carga de fotografías y listas PDF en Registro_Evidencia_Files_ de Google Drive.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Inteligencia Directiva • Sincronización y refresco: Consulta de las 4 hojas operativas y del catálogo rector Cat_Alineacion vía gviz/tq (PapaParse), conforme al ciclo de actualización configurado. • Sistema de 7 Filtros Globales: Periodo 2026, Municipio, Dirección General, Disciplina, Programa de Gobierno, Enfoque y ZAP. • Mapa Estatal Completo: Cartografía interactiva con los 46 municipios (GTO_COORDS) y 6 vistas analíticas.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Cierre y Toma de Decisiones • Módulo de Conciliación (Vista 6): Detecta descuadres Territorio ≠ Demografía y descarga el reporte Conciliacion_Operativa_Cultura_GTO.csv. • Exportador Ejecutivo (PptxGenJS): Genera en un clic una presentación Widescreen 16:9 (.pptx) de 6 láminas con los filtros activos y gráficas en alta resolución.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1.1 Especificación Técnica de Mecanismos por Fase y de las 6 Vistas Analíticas del Tablero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Fase del Flujo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Áreas y Componentes Técnicos</w:t>
            </w:r>
          </w:p>
        </w:tc>
        <w:tc>
          <w:tcPr>
            <w:tcW w:type="dxa" w:w="3485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Mecanismo Operativo de Captura, Validación, Actualización y Consulta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1. Captura en Origen (Online y Offline)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8 Unidades Operativas• Enlaces Municipales y CAV• Interfaz AppSheet y Plantilla Offline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Mecanismo Online (AppSheet Web y Móvil): El enlace autenticado (@guanajuato.gob.mx) crea la ficha maestra en Registro_Actividades seleccionando su proceso y meta desde Cat_Alineacion. Los campos de alineación se muestran por referencia al catálogo rector. Dentro del mismo formulario compuesto (IsPartOf), agrega las filas hijas de sedes municipales/ZAP (Registro_Territorio), perfil demográfico (Registro_Poblacion) y adjunta evidencias (Registro_Evidencia). 2. Mecanismo Offline para Zonas sin Conectividad: En los Centros de Atención a Visitantes (CAV) y zonas arqueológicas de Patrimonio Cultural sin internet o energía eléctrica continua, el responsable registra diariamente en la Plantilla Maestra Offline Protegida (con menús desplegables idénticos a los 18 catálogos) y sincroniza el lote semanalmente al desplazarse a un punto con cobertura.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2. Persistencia y Validación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Google Sheets (DB_Sistema_Cultura_GTO_V1)• Google Drive Institucional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Validación de Integridad y Catálogos: El motor asigna automáticamente la llave primaria ID_Actividad (ACT00001..ACT00573), bloquea el texto libre mediante los 18 catálogos maestros y separa Cantidad_Participacion (formación/comunidad) de Cantidad_Acceso (público espectador). 2. Respaldo Documental Estructurado: Las fotografías, listas de asistencia escaneadas y carpetas ZIP se almacenan en la carpeta Registro_Evidencia_Files_ de Google Drive, guardando su ruta relativa vinculada al folio de la actividad.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3. Actualización y Consulta en Tablero Web SPA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Aplicación index.html• Dirección de Planeación• Titulares de Dirección General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El Tablero Directivo Web SPA consulta las 4 hojas operativas y el catálogo rector Cat_Alineacion, con actualización conforme al ciclo de sincronización configurado, y organiza el monitoreo institucional en 6 vistas analíticas especializadas: • Vista 1 (Inicio — Visión General): KPIs globales (573 actividades, 349,183 alcance territorial vs. 304,626 demográfico, ingresos e inversión), mapa interactivo Leaflet con las 46 cabeceras municipales (GTO_COORDS), top tipos de actividad, disciplinas y evolución mensual. • Vista 2 (Matriz Estratégica): Seguimiento de las 99 metas anuales y 34 procesos presupuestales clasificados por unidad de medida (ACTIVIDADES, PERSONAS, METROS) con semáforo de avance. • Vista 3 (Cobertura Territorial y ZAP): Desglose por los 46 municipios (25 activos = 54.3% + 1 sede nacional), ámbito Urbano/Periurbano/Rural e impacto en polígonos ZAP Nuevo Comienzo y ZAP SSyP. • Vista 4 (Perfil de Población y Expediente): Distribución por grupo etario, género y grupos prioritarios, más buscador con ventana modal de expediente individual. • Vista 5 (Repositorio de Evidencias): Auditoría documental de los 289 archivos cargados y filtro específico de actividades pendientes de evidencia por Dirección General. • Vista 6 (Conciliación Operativa): Detección automática de actividades donde la cifra territorial difiere del desglose demográfico (Δ ≠ 0).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Fase 4. Exportación Ejecutiva y Conciliación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• Librería PptxGenJS v3.12.0• Motor exportAuditCSV()• Dirección de Planeación</w:t>
            </w:r>
          </w:p>
        </w:tc>
        <w:tc>
          <w:tcPr>
            <w:tcW w:type="dxa" w:w="3485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Exportación Ejecutiva Widescreen 16:9 (.pptx): El botón "Exportar Presentación Ejecutiva" ejecuta exportExecutivePPTX(), generando un archivo PowerPoint de 6 diapositivas en formato 16:9 con los filtros activos aplicados, escudo institucional, tarjetas de KPIs y gráficas de Chart.js en alta resolución (toBase64Image()). 2. Reporte de Conciliación (.csv): En la Vista 6, el botón "Descargar reporte CSV" genera el archivo nominal Conciliacion_Operativa_Cultura_GTO.csv para requerir la solventación a los enlaces operativos.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2. Matriz de Responsabilidades Operativas (RACI) y Protocolo de Actualización</w:t>
      </w:r>
    </w:p>
    <w:p>
      <w:r>
        <w:rPr>
          <w:b w:val="0"/>
          <w:i w:val="0"/>
        </w:rPr>
        <w:br/>
        <w:t xml:space="preserve">      Para asegurar la disciplina en la captura y la confiabilidad de los cortes mensuales, se define la </w:t>
      </w:r>
      <w:r>
        <w:rPr>
          <w:b/>
          <w:i w:val="0"/>
        </w:rPr>
        <w:t>Matriz RACI</w:t>
      </w:r>
      <w:r>
        <w:rPr>
          <w:b w:val="0"/>
          <w:i w:val="0"/>
        </w:rPr>
        <w:t xml:space="preserve"> (</w:t>
      </w:r>
      <w:r>
        <w:rPr>
          <w:b/>
          <w:i w:val="0"/>
        </w:rPr>
        <w:t>R</w:t>
      </w:r>
      <w:r>
        <w:rPr>
          <w:b w:val="0"/>
          <w:i w:val="0"/>
        </w:rPr>
        <w:t xml:space="preserve"> = </w:t>
      </w:r>
      <w:r>
        <w:rPr>
          <w:b w:val="0"/>
          <w:i/>
        </w:rPr>
        <w:t>Responsable Ejecutor</w:t>
      </w:r>
      <w:r>
        <w:rPr>
          <w:b w:val="0"/>
          <w:i w:val="0"/>
        </w:rPr>
        <w:t xml:space="preserve">, </w:t>
      </w:r>
      <w:r>
        <w:rPr>
          <w:b/>
          <w:i w:val="0"/>
        </w:rPr>
        <w:t>A</w:t>
      </w:r>
      <w:r>
        <w:rPr>
          <w:b w:val="0"/>
          <w:i w:val="0"/>
        </w:rPr>
        <w:t xml:space="preserve"> = </w:t>
      </w:r>
      <w:r>
        <w:rPr>
          <w:b w:val="0"/>
          <w:i/>
        </w:rPr>
        <w:t>Aprobador / Dueño del Dato</w:t>
      </w:r>
      <w:r>
        <w:rPr>
          <w:b w:val="0"/>
          <w:i w:val="0"/>
        </w:rPr>
        <w:t xml:space="preserve">, </w:t>
      </w:r>
      <w:r>
        <w:rPr>
          <w:b/>
          <w:i w:val="0"/>
        </w:rPr>
        <w:t>C</w:t>
      </w:r>
      <w:r>
        <w:rPr>
          <w:b w:val="0"/>
          <w:i w:val="0"/>
        </w:rPr>
        <w:t xml:space="preserve"> = </w:t>
      </w:r>
      <w:r>
        <w:rPr>
          <w:b w:val="0"/>
          <w:i/>
        </w:rPr>
        <w:t>Consultado</w:t>
      </w:r>
      <w:r>
        <w:rPr>
          <w:b w:val="0"/>
          <w:i w:val="0"/>
        </w:rPr>
        <w:t xml:space="preserve">, </w:t>
      </w:r>
      <w:r>
        <w:rPr>
          <w:b/>
          <w:i w:val="0"/>
        </w:rPr>
        <w:t>I</w:t>
      </w:r>
      <w:r>
        <w:rPr>
          <w:b w:val="0"/>
          <w:i w:val="0"/>
        </w:rPr>
        <w:t xml:space="preserve"> = </w:t>
      </w:r>
      <w:r>
        <w:rPr>
          <w:b w:val="0"/>
          <w:i/>
        </w:rPr>
        <w:t>Informado</w:t>
      </w:r>
      <w:r>
        <w:rPr>
          <w:b w:val="0"/>
          <w:i w:val="0"/>
        </w:rPr>
        <w:t>) aplicable a los actores del ecosistema institucional:</w:t>
        <w:br/>
        <w:t xml:space="preserve">    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Actividad / Proceso dentro del Flujo Institucional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Enlaces de Captura (8 Áreas)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Directores de Área / Unidad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Dirección de Planeación (Lic. Marcela Chagoya)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Administración Técnica / BD</w:t>
            </w:r>
          </w:p>
        </w:tc>
        <w:tc>
          <w:tcPr>
            <w:tcW w:type="dxa" w:w="1742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4"/>
              </w:rPr>
              <w:t>Despacho C. Secretaria / Subsec.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1. Captura primaria de actividades, cobertura municipal/ZAP y desglose demográfico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2. Carga de evidencias probatorias (listas PDF, fotografías) en Google Drive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3. Captura en Plantilla Maestra Offline y sincronización semanal (CAV / Zonas Arqueológicas)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4. Conciliación mensual de cifras (Territorio == Demografía) en Vista 6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5. Gobernanza y actualización de los 18 Catálogos Maestros (Cat_Alineacion, ZAP)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C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</w:tr>
      <w:tr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6. Validación del corte mensual oficial y exportación de Presentación Ejecutiva (.pptx)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R / A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</w:t>
            </w:r>
          </w:p>
        </w:tc>
        <w:tc>
          <w:tcPr>
            <w:tcW w:type="dxa" w:w="1742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4"/>
              </w:rPr>
              <w:t>I (Usuaria)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2.1 Calendario de Actualización Mensual y Protocolo de Actuación ante Falta de Respuesta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Etapa / Supuesto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Plazo Oficial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Instancia Responsable</w:t>
            </w:r>
          </w:p>
        </w:tc>
        <w:tc>
          <w:tcPr>
            <w:tcW w:type="dxa" w:w="2613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Regla de Operación y Protocolo ante Falta de Respuesta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1. Captura Continua y Pre-Cierre de Área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Días 1 al 30 del mes en curso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Enlaces de Captura y Directores de las 8 Áreas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Registro continuo de actividades y carga de evidencias en Drive. Entre los días 26 y 30 de cada mes, cada enlace verifica en la Vista 5 y Vista 6 del Tablero que su Dirección no presente actividades sin evidencia ni diferencias Territorio ≠ Demografía.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2. Auditoría de Conciliación Operativa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Días 1 al 2 del mes siguiente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Dirección de Planeación (Lic. Marcela Chagoya)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La Dirección de Planeación descarga desde la Vista 6 el archivo Conciliacion_Operativa_Cultura_GTO.csv y notifica por correo institucional a los enlaces cuyos folios presenten variación demográfica o rezago documental, otorgando un plazo improrrogable de 48 horas hábiles para su solventación.</w:t>
            </w:r>
          </w:p>
        </w:tc>
      </w:tr>
      <w:tr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3. Protocolo ante Falta de Respuesta o No Solventación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Día 4 del mes siguiente (Vencimiento)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Dirección de Planeación / Titulares de Dirección General</w:t>
            </w:r>
          </w:p>
        </w:tc>
        <w:tc>
          <w:tcPr>
            <w:tcW w:type="dxa" w:w="2613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En caso de que un Enlace Operativo omita responder o solventar las observaciones dentro del plazo establecido, se ejecuta el Protocolo de Escalamiento en 3 Niveles: • Nivel 1 (Regularización documentada): Si la actividad cuenta con aforo territorial validado y evidencia en Drive pero carece de desglose demográfico, el área dueña del dato puede autorizar por escrito el registro como "Dato global". El sistema conserva usuario, fecha, motivo y evidencia; Planeación revisa, pero no sustituye unilateralmente al responsable del dato. • Nivel 2 (Retención Preventiva de Cómputo en Meta): Si la actividad carece simultáneamente de evidencia probatoria en Drive (Registro_Evidencia vacío), su estatus pasa a "Observado / En Revisión" y se excluye temporalmente del cómputo oficial de avance de la meta en Cat_Alineacion. • Nivel 3 (Notificación Ejecutiva al Titular): Al emitir el corte del día 5 y la Presentación Ejecutiva (.pptx), se anexa el reporte nominal de folios no solventados por Dirección General para conocimiento del Titular de Área y Subsecretaría correspondiente.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Constancia de entrega para revisión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  <w:tblHeader/>
        </w:trPr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Elaboró y Entrega (Prestador de Servicios Profesionales)</w:t>
            </w:r>
          </w:p>
        </w:tc>
        <w:tc>
          <w:tcPr>
            <w:tcW w:type="dxa" w:w="5227"/>
            <w:vAlign w:val="center"/>
            <w:shd w:fill="004B87"/>
          </w:tcPr>
          <w:p>
            <w:pPr>
              <w:spacing w:after="20"/>
            </w:pPr>
            <w:r>
              <w:rPr>
                <w:rFonts w:ascii="Helvetica Neue" w:hAnsi="Helvetica Neue"/>
                <w:b/>
                <w:color w:val="FFFFFF"/>
                <w:sz w:val="16"/>
              </w:rPr>
              <w:t>Recibe para Revisión y Validación (Dependencia Destinataria)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Luis Angel Durán Alvarez Persona Física | Consultoría PULSO Q RFC: DUAL921018QI3 • No. Proveedor (Finanzas GTO): 504898 (Estatus R-2026)</w:t>
            </w:r>
          </w:p>
        </w:tc>
        <w:tc>
          <w:tcPr>
            <w:tcW w:type="dxa" w:w="5227"/>
            <w:vAlign w:val="center"/>
          </w:tcPr>
          <w:p>
            <w:pPr>
              <w:spacing w:after="20"/>
            </w:pPr>
            <w:r>
              <w:rPr>
                <w:rFonts w:ascii="Helvetica Neue" w:hAnsi="Helvetica Neue"/>
                <w:sz w:val="16"/>
              </w:rPr>
              <w:t>Lic. Marcela Chagoya Directora de Planeación Secretaría de Cultura del Estado de Guanajuato Fecha: 19 de octubre de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368" w:right="893" w:bottom="893" w:left="893" w:header="25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/>
        <w:color w:val="63666A"/>
        <w:sz w:val="14"/>
      </w:rPr>
      <w:t>Secretaría de Cultura del Estado de Guanajuato  •  PULSO Q  •  Documento editable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227"/>
      <w:gridCol w:w="5227"/>
    </w:tblGrid>
    <w:tr>
      <w:tc>
        <w:tcPr>
          <w:tcW w:type="dxa" w:w="6768"/>
          <w:vAlign w:val="center"/>
          <w:tcBorders>
            <w:bottom w:val="single" w:sz="8" w:color="69B3E7"/>
          </w:tcBorders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740161" cy="6309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0161" cy="6309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Helvetica Neue" w:hAnsi="Helvetica Neue"/>
              <w:b/>
              <w:color w:val="004B87"/>
              <w:sz w:val="15"/>
            </w:rPr>
            <w:t xml:space="preserve">   SECRETARÍA DE CULTURA</w:t>
          </w:r>
        </w:p>
      </w:tc>
      <w:tc>
        <w:tcPr>
          <w:tcW w:type="dxa" w:w="3686"/>
          <w:vAlign w:val="center"/>
          <w:tcBorders>
            <w:bottom w:val="single" w:sz="8" w:color="69B3E7"/>
          </w:tcBorders>
        </w:tcPr>
        <w:p>
          <w:pPr>
            <w:spacing w:after="0"/>
            <w:jc w:val="right"/>
          </w:pPr>
          <w:r>
            <w:rPr>
              <w:rFonts w:ascii="Helvetica Neue" w:hAnsi="Helvetica Neue"/>
              <w:b/>
              <w:color w:val="004B87"/>
              <w:sz w:val="18"/>
            </w:rPr>
            <w:t>Dirección de Planeación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Helvetica Neue" w:hAnsi="Helvetica Neu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lvetica Neue" w:hAnsi="Helvetica Neue"/>
      <w:b/>
      <w:color w:val="004B8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4 — Mapa de Procesos y Flujos de Información Elaborado | Secretaría de Cultura de Guanajuato</dc:title>
  <dc:subject>Entregable editable para revisión y validación</dc:subject>
  <dc:creator>PULSO 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