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b/>
          <w:color w:val="243B53"/>
          <w:sz w:val="22"/>
          <w:lang w:val="es-CR"/>
        </w:rPr>
        <w:t>ARQUITECTURA V1</w:t>
      </w:r>
    </w:p>
    <w:p>
      <w:pPr>
        <w:pStyle w:val="Title"/>
        <w:jc w:val="center"/>
      </w:pPr>
      <w:r>
        <w:rPr>
          <w:lang w:val="es-CR"/>
        </w:rPr>
        <w:t>Plataforma SaaS B2B de facturación electrónica</w:t>
      </w:r>
    </w:p>
    <w:p>
      <w:pPr>
        <w:jc w:val="center"/>
      </w:pPr>
      <w:r>
        <w:rPr>
          <w:color w:val="46525F"/>
          <w:sz w:val="30"/>
          <w:lang w:val="es-CR"/>
        </w:rPr>
        <w:t>Propuesta técnica para Billing E Invoice y Receivables</w:t>
      </w:r>
    </w:p>
    <w:p>
      <w:pPr>
        <w:spacing w:before="760"/>
        <w:jc w:val="center"/>
      </w:pPr>
      <w:r>
        <w:rPr>
          <w:b/>
          <w:lang w:val="es-CR"/>
        </w:rPr>
        <w:t>Documento de decisiones arquitectónicas y base para implementación</w:t>
        <w:br/>
      </w:r>
      <w:r>
        <w:rPr>
          <w:lang w:val="es-CR"/>
        </w:rPr>
        <w:t>Versión 1.0  •  21 de septiembre de 2026</w:t>
      </w:r>
    </w:p>
    <w:p>
      <w:pPr>
        <w:spacing w:before="3200"/>
        <w:jc w:val="center"/>
      </w:pPr>
      <w:r>
        <w:rPr>
          <w:color w:val="5A646E"/>
          <w:sz w:val="18"/>
          <w:lang w:val="es-CR"/>
        </w:rPr>
        <w:t>Estado  Propuesta para validación del equipo</w:t>
      </w:r>
    </w:p>
    <w:p>
      <w:pPr/>
      <w:r>
        <w:rPr>
          <w:lang w:val="es-CR"/>
        </w:rPr>
        <w:br w:type="page"/>
      </w:r>
    </w:p>
    <w:p>
      <w:pPr>
        <w:pStyle w:val="Heading1"/>
        <w:keepNext/>
      </w:pPr>
      <w:r>
        <w:rPr>
          <w:lang w:val="es-CR"/>
        </w:rPr>
        <w:t>Resumen ejecutivo</w:t>
      </w:r>
    </w:p>
    <w:p>
      <w:pPr/>
      <w:r>
        <w:rPr>
          <w:lang w:val="es-CR"/>
        </w:rPr>
        <w:t>La plataforma se plantea como un SaaS B2B multiempresa para que distintas organizaciones administren clientes, productos, facturas, documentos electrónicos, cuentas por cobrar y pagos. La decisión recomendada para la primera versión es operar tres APIs independientes, alineadas con tres dominios y tres desarrolladores, sobre una única instancia PostgreSQL organizada por schemas y con controles estrictos de propiedad y acceso.</w:t>
      </w:r>
    </w:p>
    <w:p>
      <w:pPr/>
      <w:r>
        <w:rPr>
          <w:lang w:val="es-CR"/>
        </w:rPr>
        <w:t>La separación física de las APIs permite trabajo paralelo y responsabilidades end to end. La base compartida evita duplicación prematura y sincronización eventual innecesaria entre datos naturalmente relacionados. Los schemas, permisos, contratos y eventos conservan las fronteras necesarias para extraer servicios o bases independientes en el futuro.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2232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952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Propuesta V1</w:t>
            </w:r>
          </w:p>
        </w:tc>
        <w:tc>
          <w:tcPr>
            <w:tcW w:type="dxa" w:w="4032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 principal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Arquitectura de servicios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Tres APIs independientes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Responsabilidad clara y desarrollo paralelo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Persistencia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Una base PostgreSQL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Relaciones fuertes dentro del mismo proceso empresarial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Separación lógica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Schemas por dominio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Ownership de datos y evolución independiente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Tenancy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Multi tenant desde el día uno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Aislamiento de múltiples empresas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Integración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Eventos y contratos versionados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Evitar acoplamiento secuencial entre APIs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Auditoría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Registro de negocio append only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Trazabilidad demostrable ante clientes y auditorías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lang w:val="es-CR"/>
        </w:rPr>
        <w:t>Alcance del documento</w:t>
      </w:r>
    </w:p>
    <w:p>
      <w:pPr/>
      <w:r>
        <w:rPr>
          <w:lang w:val="es-CR"/>
        </w:rPr>
        <w:t>Este documento consolida las decisiones tomadas hasta ahora y define una base implementable. No sustituye una validación legal, tributaria, contable ni de protección de datos. Los requisitos vigentes de Hacienda, conservación documental y privacidad deben verificarse antes de cerrar el diseño de producción.</w:t>
      </w:r>
    </w:p>
    <w:p>
      <w:pPr/>
      <w:r>
        <w:rPr>
          <w:lang w:val="es-CR"/>
        </w:rPr>
        <w:br w:type="page"/>
      </w:r>
    </w:p>
    <w:p>
      <w:pPr>
        <w:pStyle w:val="Heading1"/>
        <w:keepNext/>
      </w:pPr>
      <w:r>
        <w:rPr>
          <w:lang w:val="es-CR"/>
        </w:rPr>
        <w:t>1 Contexto y principios</w:t>
      </w:r>
    </w:p>
    <w:p>
      <w:pPr/>
      <w:r>
        <w:rPr>
          <w:lang w:val="es-CR"/>
        </w:rPr>
        <w:t>El sistema cubre un flujo empresarial continuo: una organización vende, factura, reporta fiscalmente, genera una cuenta por cobrar y registra pagos. Aunque estas capacidades están relacionadas, cada una posee reglas, estados y ritmos de evolución distintos.</w:t>
      </w:r>
    </w:p>
    <w:p>
      <w:pPr>
        <w:pStyle w:val="Code"/>
        <w:keepLines/>
      </w:pPr>
      <w:r>
        <w:rPr>
          <w:lang w:val="es-CR"/>
        </w:rPr>
        <w:t>Venta  →  Factura comercial  →  Documento electrónico  →  Cuenta por cobrar  →  Pago</w:t>
      </w:r>
    </w:p>
    <w:p>
      <w:pPr>
        <w:pStyle w:val="Heading2"/>
        <w:keepNext/>
      </w:pPr>
      <w:r>
        <w:rPr>
          <w:lang w:val="es-CR"/>
        </w:rPr>
        <w:t>1.1 Principios rectores</w:t>
      </w:r>
    </w:p>
    <w:p>
      <w:pPr>
        <w:pStyle w:val="ListBullet"/>
        <w:spacing w:after="60"/>
      </w:pPr>
      <w:r>
        <w:rPr>
          <w:lang w:val="es-CR"/>
        </w:rPr>
        <w:t>Separar responsabilidades de dominio aunque la infraestructura se comparta.</w:t>
      </w:r>
    </w:p>
    <w:p>
      <w:pPr>
        <w:pStyle w:val="ListBullet"/>
        <w:spacing w:after="60"/>
      </w:pPr>
      <w:r>
        <w:rPr>
          <w:lang w:val="es-CR"/>
        </w:rPr>
        <w:t>Cada API escribe únicamente en el schema que posee.</w:t>
      </w:r>
    </w:p>
    <w:p>
      <w:pPr>
        <w:pStyle w:val="ListBullet"/>
        <w:spacing w:after="60"/>
      </w:pPr>
      <w:r>
        <w:rPr>
          <w:lang w:val="es-CR"/>
        </w:rPr>
        <w:t>Una falla o lentitud de Hacienda no debe bloquear la emisión comercial.</w:t>
      </w:r>
    </w:p>
    <w:p>
      <w:pPr>
        <w:pStyle w:val="ListBullet"/>
        <w:spacing w:after="60"/>
      </w:pPr>
      <w:r>
        <w:rPr>
          <w:lang w:val="es-CR"/>
        </w:rPr>
        <w:t>El tenant se obtiene de la identidad autorizada y nunca se acepta a ciegas desde el frontend.</w:t>
      </w:r>
    </w:p>
    <w:p>
      <w:pPr>
        <w:pStyle w:val="ListBullet"/>
        <w:spacing w:after="60"/>
      </w:pPr>
      <w:r>
        <w:rPr>
          <w:lang w:val="es-CR"/>
        </w:rPr>
        <w:t>La base de datos debe reforzar el aislamiento entre organizaciones, no depender solo del código.</w:t>
      </w:r>
    </w:p>
    <w:p>
      <w:pPr>
        <w:pStyle w:val="ListBullet"/>
        <w:spacing w:after="60"/>
      </w:pPr>
      <w:r>
        <w:rPr>
          <w:lang w:val="es-CR"/>
        </w:rPr>
        <w:t>Los documentos emitidos conservan snapshots históricos de datos relevantes.</w:t>
      </w:r>
    </w:p>
    <w:p>
      <w:pPr>
        <w:pStyle w:val="ListBullet"/>
        <w:spacing w:after="60"/>
      </w:pPr>
      <w:r>
        <w:rPr>
          <w:lang w:val="es-CR"/>
        </w:rPr>
        <w:t>Las operaciones financieras y fiscales sensibles se corrigen mediante estados, notas o reversos; no mediante borrado destructivo.</w:t>
      </w:r>
    </w:p>
    <w:p>
      <w:pPr>
        <w:pStyle w:val="ListBullet"/>
        <w:spacing w:after="60"/>
      </w:pPr>
      <w:r>
        <w:rPr>
          <w:lang w:val="es-CR"/>
        </w:rPr>
        <w:t>Los contratos de integración se versionan y admiten idempotencia, reintentos y trazabilidad.</w:t>
      </w:r>
    </w:p>
    <w:p>
      <w:pPr>
        <w:pStyle w:val="Heading2"/>
        <w:keepNext/>
      </w:pPr>
      <w:r>
        <w:rPr>
          <w:lang w:val="es-CR"/>
        </w:rPr>
        <w:t>1.2 Decisiones explícitas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872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240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4104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Servicios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Billing API, E Invoice API y Receivables API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Autonomía de despliegue y ownership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Repositorio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Preferiblemente uno por API y uno pequeño de contratos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No compartir entidades, repositorios ni DbContext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Una instancia compartida con schemas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Permisos separados y migraciones por owner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Procesamiento fiscal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Asíncrono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Billing responde sin esperar a Hacienda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Cliente final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billing.customers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No confundir con core.organizations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Suscripción SaaS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subscriptions o platform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Separada de la facturación de la PYME</w:t>
            </w:r>
          </w:p>
        </w:tc>
      </w:tr>
    </w:tbl>
    <w:p>
      <w:pPr>
        <w:spacing w:after="20"/>
      </w:pPr>
    </w:p>
    <w:p>
      <w:pPr/>
      <w:r>
        <w:rPr>
          <w:lang w:val="es-CR"/>
        </w:rPr>
        <w:br w:type="page"/>
      </w:r>
    </w:p>
    <w:p>
      <w:pPr>
        <w:pStyle w:val="Heading1"/>
        <w:keepNext/>
      </w:pPr>
      <w:r>
        <w:rPr>
          <w:lang w:val="es-CR"/>
        </w:rPr>
        <w:t>2 Arquitectura propuesta</w:t>
      </w:r>
    </w:p>
    <w:p>
      <w:pPr>
        <w:pStyle w:val="Code"/>
        <w:keepLines/>
      </w:pPr>
      <w:r>
        <w:rPr>
          <w:lang w:val="es-CR"/>
        </w:rPr>
        <w:t>Web Mobile BFF</w:t>
        <w:br/>
        <w:t xml:space="preserve">       │</w:t>
        <w:br/>
        <w:t xml:space="preserve">       ├───────────────┬──────────────────┐</w:t>
        <w:br/>
        <w:t xml:space="preserve">       ▼               ▼                  ▼</w:t>
        <w:br/>
        <w:t xml:space="preserve">  Billing API     E Invoice API     Receivables API</w:t>
        <w:br/>
        <w:t xml:space="preserve">       │               │                  │</w:t>
        <w:br/>
        <w:t xml:space="preserve">       └───────────────┴──────────────────┘</w:t>
        <w:br/>
        <w:t xml:space="preserve">                       ▼</w:t>
        <w:br/>
        <w:t xml:space="preserve">                   PostgreSQL</w:t>
        <w:br/>
        <w:t xml:space="preserve">      core  billing  fiscal  receivables</w:t>
        <w:br/>
        <w:t xml:space="preserve">         subscriptions  audit  integration</w:t>
      </w:r>
    </w:p>
    <w:p>
      <w:pPr/>
      <w:r>
        <w:rPr>
          <w:lang w:val="es-CR"/>
        </w:rPr>
        <w:t>Las tres APIs son deployables independientes. Pueden usar el mismo stack inicial, por ejemplo ASP.NET Core, PostgreSQL, Docker y una plataforma común de observabilidad, sin compartir lógica de negocio.</w:t>
      </w:r>
    </w:p>
    <w:p>
      <w:pPr>
        <w:pStyle w:val="Heading2"/>
        <w:keepNext/>
      </w:pPr>
      <w:r>
        <w:rPr>
          <w:lang w:val="es-CR"/>
        </w:rPr>
        <w:t>2.1 Fronteras de escritura y lectura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2232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168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Puede escribir</w:t>
            </w:r>
          </w:p>
        </w:tc>
        <w:tc>
          <w:tcPr>
            <w:tcW w:type="dxa" w:w="3816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Puede leer directamente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Billing API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billing.*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core.* y catálogos autorizados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E Invoice API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fiscal.*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core.* y snapshots o vistas autorizadas de billing.*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Receivables API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receivables.*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core.* y datos mínimos de billing.*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Servicios de plataforma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core.* y subscriptions.*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Datos de identidad, plan y organización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Audit pipeline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audit.*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Eventos publicados; no altera dominios</w:t>
            </w:r>
          </w:p>
        </w:tc>
      </w:tr>
    </w:tbl>
    <w:p>
      <w:pPr>
        <w:spacing w:after="20"/>
      </w:pPr>
    </w:p>
    <w:p>
      <w:pPr/>
      <w:r>
        <w:rPr>
          <w:lang w:val="es-CR"/>
        </w:rPr>
        <w:t>El acceso directo de lectura entre schemas debe ser excepcional y explícito. Para operaciones de negocio, la preferencia es usar eventos, endpoints internos o proyecciones. Una API nunca actualiza las tablas propiedad de otra.</w:t>
      </w:r>
    </w:p>
    <w:p>
      <w:pPr>
        <w:pStyle w:val="Heading2"/>
        <w:keepNext/>
      </w:pPr>
      <w:r>
        <w:rPr>
          <w:lang w:val="es-CR"/>
        </w:rPr>
        <w:t>2.2 Vista transversal para la interfaz</w:t>
      </w:r>
    </w:p>
    <w:p>
      <w:pPr/>
      <w:r>
        <w:rPr>
          <w:lang w:val="es-CR"/>
        </w:rPr>
        <w:t>Una pantalla puede necesitar total de factura, estado en Hacienda y saldo pendiente. Esa composición corresponde al BFF, a una Query API o a un read model, no al dominio interno de Billing.</w:t>
      </w:r>
    </w:p>
    <w:p>
      <w:pPr>
        <w:pStyle w:val="Code"/>
        <w:keepLines/>
      </w:pPr>
      <w:r>
        <w:rPr>
          <w:lang w:val="es-CR"/>
        </w:rPr>
        <w:t>Factura FE00100034</w:t>
        <w:br/>
        <w:t>Total: ₡113 000  |  Hacienda: Aceptada  |  Saldo: ₡63 000</w:t>
      </w:r>
    </w:p>
    <w:p>
      <w:pPr>
        <w:pStyle w:val="Heading1"/>
        <w:keepNext/>
      </w:pPr>
      <w:r>
        <w:rPr>
          <w:lang w:val="es-CR"/>
        </w:rPr>
        <w:t>3 Responsabilidad de cada API</w:t>
      </w:r>
    </w:p>
    <w:p>
      <w:pPr>
        <w:pStyle w:val="Heading2"/>
        <w:keepNext/>
      </w:pPr>
      <w:r>
        <w:rPr>
          <w:lang w:val="es-CR"/>
        </w:rPr>
        <w:t>3.1 Billing API</w:t>
      </w:r>
    </w:p>
    <w:p>
      <w:pPr/>
      <w:r>
        <w:rPr>
          <w:lang w:val="es-CR"/>
        </w:rPr>
        <w:t>Es dueña de la operación comercial realizada por cada organización a sus propios clientes.</w:t>
      </w:r>
    </w:p>
    <w:p>
      <w:pPr>
        <w:pStyle w:val="ListBullet"/>
        <w:spacing w:after="60"/>
      </w:pPr>
      <w:r>
        <w:rPr>
          <w:lang w:val="es-CR"/>
        </w:rPr>
        <w:t>Clientes de la empresa</w:t>
      </w:r>
    </w:p>
    <w:p>
      <w:pPr>
        <w:pStyle w:val="ListBullet"/>
        <w:spacing w:after="60"/>
      </w:pPr>
      <w:r>
        <w:rPr>
          <w:lang w:val="es-CR"/>
        </w:rPr>
        <w:t>Productos y servicios</w:t>
      </w:r>
    </w:p>
    <w:p>
      <w:pPr>
        <w:pStyle w:val="ListBullet"/>
        <w:spacing w:after="60"/>
      </w:pPr>
      <w:r>
        <w:rPr>
          <w:lang w:val="es-CR"/>
        </w:rPr>
        <w:t>Facturas y líneas</w:t>
      </w:r>
    </w:p>
    <w:p>
      <w:pPr>
        <w:pStyle w:val="ListBullet"/>
        <w:spacing w:after="60"/>
      </w:pPr>
      <w:r>
        <w:rPr>
          <w:lang w:val="es-CR"/>
        </w:rPr>
        <w:t>Cálculo comercial de subtotales, descuentos e impuestos</w:t>
      </w:r>
    </w:p>
    <w:p>
      <w:pPr>
        <w:pStyle w:val="ListBullet"/>
        <w:spacing w:after="60"/>
      </w:pPr>
      <w:r>
        <w:rPr>
          <w:lang w:val="es-CR"/>
        </w:rPr>
        <w:t>Notas de crédito y débito</w:t>
      </w:r>
    </w:p>
    <w:p>
      <w:pPr>
        <w:pStyle w:val="ListBullet"/>
        <w:spacing w:after="60"/>
      </w:pPr>
      <w:r>
        <w:rPr>
          <w:lang w:val="es-CR"/>
        </w:rPr>
        <w:t>Estados comerciales y numeración visible al negocio</w:t>
      </w:r>
    </w:p>
    <w:p>
      <w:pPr/>
      <w:r>
        <w:rPr>
          <w:lang w:val="es-CR"/>
        </w:rPr>
        <w:t>No es responsable de comunicarse con Hacienda ni de aplicar pagos a saldos.</w:t>
      </w:r>
    </w:p>
    <w:p>
      <w:pPr>
        <w:pStyle w:val="Heading2"/>
        <w:keepNext/>
      </w:pPr>
      <w:r>
        <w:rPr>
          <w:lang w:val="es-CR"/>
        </w:rPr>
        <w:t>3.2 E Invoice API</w:t>
      </w:r>
    </w:p>
    <w:p>
      <w:pPr/>
      <w:r>
        <w:rPr>
          <w:lang w:val="es-CR"/>
        </w:rPr>
        <w:t>Es dueña del cumplimiento fiscal y de la comunicación con Hacienda. Debe funcionar de forma desacoplada porque maneja timeouts, certificados, firma, XML, cambios de versión, respuestas asíncronas, reintentos y contingencias.</w:t>
      </w:r>
    </w:p>
    <w:p>
      <w:pPr>
        <w:pStyle w:val="ListBullet"/>
        <w:spacing w:after="60"/>
      </w:pPr>
      <w:r>
        <w:rPr>
          <w:lang w:val="es-CR"/>
        </w:rPr>
        <w:t>Configuración fiscal por organización</w:t>
      </w:r>
    </w:p>
    <w:p>
      <w:pPr>
        <w:pStyle w:val="ListBullet"/>
        <w:spacing w:after="60"/>
      </w:pPr>
      <w:r>
        <w:rPr>
          <w:lang w:val="es-CR"/>
        </w:rPr>
        <w:t>Actividades económicas y catálogo CABYS</w:t>
      </w:r>
    </w:p>
    <w:p>
      <w:pPr>
        <w:pStyle w:val="ListBullet"/>
        <w:spacing w:after="60"/>
      </w:pPr>
      <w:r>
        <w:rPr>
          <w:lang w:val="es-CR"/>
        </w:rPr>
        <w:t>Establecimientos, terminales, consecutivos y claves</w:t>
      </w:r>
    </w:p>
    <w:p>
      <w:pPr>
        <w:pStyle w:val="ListBullet"/>
        <w:spacing w:after="60"/>
      </w:pPr>
      <w:r>
        <w:rPr>
          <w:lang w:val="es-CR"/>
        </w:rPr>
        <w:t>Generación y firma de XML</w:t>
      </w:r>
    </w:p>
    <w:p>
      <w:pPr>
        <w:pStyle w:val="ListBullet"/>
        <w:spacing w:after="60"/>
      </w:pPr>
      <w:r>
        <w:rPr>
          <w:lang w:val="es-CR"/>
        </w:rPr>
        <w:t>Envíos y consultas a Hacienda</w:t>
      </w:r>
    </w:p>
    <w:p>
      <w:pPr>
        <w:pStyle w:val="ListBullet"/>
        <w:spacing w:after="60"/>
      </w:pPr>
      <w:r>
        <w:rPr>
          <w:lang w:val="es-CR"/>
        </w:rPr>
        <w:t>Estados Processing Accepted Rejected y contingencia</w:t>
      </w:r>
    </w:p>
    <w:p>
      <w:pPr>
        <w:pStyle w:val="ListBullet"/>
        <w:spacing w:after="60"/>
      </w:pPr>
      <w:r>
        <w:rPr>
          <w:lang w:val="es-CR"/>
        </w:rPr>
        <w:t>Historial de intentos y respuestas</w:t>
      </w:r>
    </w:p>
    <w:p>
      <w:pPr>
        <w:pStyle w:val="Heading2"/>
        <w:keepNext/>
      </w:pPr>
      <w:r>
        <w:rPr>
          <w:lang w:val="es-CR"/>
        </w:rPr>
        <w:t>3.3 Receivables API</w:t>
      </w:r>
    </w:p>
    <w:p>
      <w:pPr/>
      <w:r>
        <w:rPr>
          <w:lang w:val="es-CR"/>
        </w:rPr>
        <w:t>Es dueña de cuentas por cobrar, pagos, aplicación de pagos, vencimientos, morosidad y seguimiento. El nombre Receivables refleja mejor su alcance que Payments.</w:t>
      </w:r>
    </w:p>
    <w:p>
      <w:pPr>
        <w:pStyle w:val="ListBullet"/>
        <w:spacing w:after="60"/>
      </w:pPr>
      <w:r>
        <w:rPr>
          <w:lang w:val="es-CR"/>
        </w:rPr>
        <w:t>Creación de cuentas por cobrar desde facturas emitidas</w:t>
      </w:r>
    </w:p>
    <w:p>
      <w:pPr>
        <w:pStyle w:val="ListBullet"/>
        <w:spacing w:after="60"/>
      </w:pPr>
      <w:r>
        <w:rPr>
          <w:lang w:val="es-CR"/>
        </w:rPr>
        <w:t>Pagos parciales o totales</w:t>
      </w:r>
    </w:p>
    <w:p>
      <w:pPr>
        <w:pStyle w:val="ListBullet"/>
        <w:spacing w:after="60"/>
      </w:pPr>
      <w:r>
        <w:rPr>
          <w:lang w:val="es-CR"/>
        </w:rPr>
        <w:t>Un pago aplicado a varias facturas</w:t>
      </w:r>
    </w:p>
    <w:p>
      <w:pPr>
        <w:pStyle w:val="ListBullet"/>
        <w:spacing w:after="60"/>
      </w:pPr>
      <w:r>
        <w:rPr>
          <w:lang w:val="es-CR"/>
        </w:rPr>
        <w:t>Varios pagos aplicados a una factura</w:t>
      </w:r>
    </w:p>
    <w:p>
      <w:pPr>
        <w:pStyle w:val="ListBullet"/>
        <w:spacing w:after="60"/>
      </w:pPr>
      <w:r>
        <w:rPr>
          <w:lang w:val="es-CR"/>
        </w:rPr>
        <w:t>Saldos, vencimientos, aging y morosidad</w:t>
      </w:r>
    </w:p>
    <w:p>
      <w:pPr>
        <w:pStyle w:val="ListBullet"/>
        <w:spacing w:after="60"/>
      </w:pPr>
      <w:r>
        <w:rPr>
          <w:lang w:val="es-CR"/>
        </w:rPr>
        <w:t>Seguimientos y compromisos de pago</w:t>
      </w:r>
    </w:p>
    <w:p>
      <w:pPr/>
      <w:r>
        <w:rPr>
          <w:lang w:val="es-CR"/>
        </w:rPr>
        <w:br w:type="page"/>
      </w:r>
    </w:p>
    <w:p>
      <w:pPr>
        <w:pStyle w:val="Heading1"/>
        <w:keepNext/>
      </w:pPr>
      <w:r>
        <w:rPr>
          <w:lang w:val="es-CR"/>
        </w:rPr>
        <w:t>4 Diseño de base de datos</w:t>
      </w:r>
    </w:p>
    <w:p>
      <w:pPr>
        <w:pStyle w:val="Heading2"/>
        <w:keepNext/>
      </w:pPr>
      <w:r>
        <w:rPr>
          <w:lang w:val="es-CR"/>
        </w:rPr>
        <w:t>4.1 Organización por schemas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656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2952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4608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Tablas iniciales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Tenancy, identidad y estructura organizativa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organizations, users, organization_users, branches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Operación comercial de la PYME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customers, products, invoices, invoice_lines, credit_notes, debit_notes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fiscal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Cumplimiento y documentos electrónicos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electronic_documents, document_lines, configurations, consecutives, hacienda_submissions, cabys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receivables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Cobranza y pagos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accounts_receivable, payments, payment_applications, follow_ups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subscriptions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Relación comercial SaaS con la empresa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plans, subscriptions, usage, subscription_payments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audit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Trazabilidad de negocio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audit_events, access_events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Entrega confiable de eventos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outbox_messages, inbox_messages, dead_letters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lang w:val="es-CR"/>
        </w:rPr>
        <w:t>4.2 Modelo conceptual mínimo</w:t>
      </w:r>
    </w:p>
    <w:p>
      <w:pPr>
        <w:pStyle w:val="Code"/>
        <w:keepLines/>
      </w:pPr>
      <w:r>
        <w:rPr>
          <w:lang w:val="es-CR"/>
        </w:rPr>
        <w:t>core.organizations</w:t>
        <w:br/>
        <w:t xml:space="preserve">  ├── core.organization_users ── core.users</w:t>
        <w:br/>
        <w:t xml:space="preserve">  ├── core.branches</w:t>
        <w:br/>
        <w:t xml:space="preserve">  ├── billing.customers</w:t>
        <w:br/>
        <w:t xml:space="preserve">  ├── billing.products</w:t>
        <w:br/>
        <w:t xml:space="preserve">  └── billing.invoices ── billing.invoice_lines</w:t>
        <w:br/>
        <w:t xml:space="preserve">            ├── fiscal.electronic_documents ── fiscal.hacienda_submissions</w:t>
        <w:br/>
        <w:t xml:space="preserve">            └── receivables.accounts_receivable</w:t>
        <w:br/>
        <w:t xml:space="preserve">                       └── receivables.payment_applications ── receivables.payments</w:t>
      </w:r>
    </w:p>
    <w:p>
      <w:pPr>
        <w:pStyle w:val="Heading2"/>
        <w:keepNext/>
      </w:pPr>
      <w:r>
        <w:rPr>
          <w:lang w:val="es-CR"/>
        </w:rPr>
        <w:t>4.3 Relaciones entre schemas</w:t>
      </w:r>
    </w:p>
    <w:p>
      <w:pPr/>
      <w:r>
        <w:rPr>
          <w:lang w:val="es-CR"/>
        </w:rPr>
        <w:t>En V1 pueden existir claves foráneas entre schemas cuando representan una relación estable del dominio, por ejemplo un documento electrónico o una cuenta por cobrar originada por una factura. Toda FK tenant owned debe incluir el identificador de organización para impedir referencias cruzadas por error.</w:t>
      </w:r>
    </w:p>
    <w:p>
      <w:pPr>
        <w:pStyle w:val="Code"/>
        <w:keepLines/>
      </w:pPr>
      <w:r>
        <w:rPr>
          <w:lang w:val="es-CR"/>
        </w:rPr>
        <w:t>UNIQUE (organization_id, id)</w:t>
        <w:br/>
        <w:t>FOREIGN KEY (organization_id, customer_id)</w:t>
        <w:br/>
        <w:t xml:space="preserve">  REFERENCES billing.customers (organization_id, id)</w:t>
        <w:br/>
        <w:br/>
        <w:t>UNIQUE (organization_id, invoice_number)</w:t>
        <w:br/>
        <w:t>UNIQUE (organization_id, customer_identification)</w:t>
      </w:r>
    </w:p>
    <w:p>
      <w:pPr/>
      <w:r>
        <w:rPr>
          <w:lang w:val="es-CR"/>
        </w:rPr>
        <w:t>Si posteriormente un dominio se mueve a otra base física, estas FK deberán sustituirse por identificadores externos, contratos y controles de consistencia eventual. Esta evolución es aceptable y no debe simularse prematuramente.</w:t>
      </w:r>
    </w:p>
    <w:p>
      <w:pPr>
        <w:pStyle w:val="Heading2"/>
        <w:keepNext/>
      </w:pPr>
      <w:r>
        <w:rPr>
          <w:lang w:val="es-CR"/>
        </w:rPr>
        <w:t>4.4 Snapshots históricos</w:t>
      </w:r>
    </w:p>
    <w:p>
      <w:pPr/>
      <w:r>
        <w:rPr>
          <w:lang w:val="es-CR"/>
        </w:rPr>
        <w:t>Aunque exista una relación al cliente o producto, la factura emitida y el documento fiscal deben conservar los datos históricos usados en ese momento: nombre, identificación, dirección, descripción, CABYS, precio e impuestos. Cambios futuros en los maestros no alteran documentos emitidos.</w:t>
      </w:r>
    </w:p>
    <w:p>
      <w:pPr>
        <w:pStyle w:val="Heading2"/>
        <w:keepNext/>
      </w:pPr>
      <w:r>
        <w:rPr>
          <w:lang w:val="es-CR"/>
        </w:rPr>
        <w:t>4.5 Migraciones y permisos</w:t>
      </w:r>
    </w:p>
    <w:p>
      <w:pPr>
        <w:pStyle w:val="ListBullet"/>
        <w:spacing w:after="60"/>
      </w:pPr>
      <w:r>
        <w:rPr>
          <w:lang w:val="es-CR"/>
        </w:rPr>
        <w:t>Cada API administra exclusivamente las migraciones de su schema.</w:t>
      </w:r>
    </w:p>
    <w:p>
      <w:pPr>
        <w:pStyle w:val="ListBullet"/>
        <w:spacing w:after="60"/>
      </w:pPr>
      <w:r>
        <w:rPr>
          <w:lang w:val="es-CR"/>
        </w:rPr>
        <w:t>Cada API usa un rol de base de datos distinto y sin permisos de escritura sobre otros schemas.</w:t>
      </w:r>
    </w:p>
    <w:p>
      <w:pPr>
        <w:pStyle w:val="ListBullet"/>
        <w:spacing w:after="60"/>
      </w:pPr>
      <w:r>
        <w:rPr>
          <w:lang w:val="es-CR"/>
        </w:rPr>
        <w:t>Los cambios cross schema se revisan conjuntamente y se despliegan con compatibilidad hacia atrás.</w:t>
      </w:r>
    </w:p>
    <w:p>
      <w:pPr>
        <w:pStyle w:val="ListBullet"/>
        <w:spacing w:after="60"/>
      </w:pPr>
      <w:r>
        <w:rPr>
          <w:lang w:val="es-CR"/>
        </w:rPr>
        <w:t>Las migraciones no deben depender de un orden implícito entre repositorios; el pipeline declara dependencias.</w:t>
      </w:r>
    </w:p>
    <w:p>
      <w:pPr/>
      <w:r>
        <w:rPr>
          <w:lang w:val="es-CR"/>
        </w:rPr>
        <w:br w:type="page"/>
      </w:r>
    </w:p>
    <w:p>
      <w:pPr>
        <w:pStyle w:val="Heading1"/>
        <w:keepNext/>
      </w:pPr>
      <w:r>
        <w:rPr>
          <w:lang w:val="es-CR"/>
        </w:rPr>
        <w:t>5 Modelo multiempresa</w:t>
      </w:r>
    </w:p>
    <w:p>
      <w:pPr/>
      <w:r>
        <w:rPr>
          <w:lang w:val="es-CR"/>
        </w:rPr>
        <w:t>Cada empresa que contrata el SaaS se representa como una organization. Todas las entidades de negocio pertenecientes al tenant incluyen organization_id UUID NOT NULL. El sistema debe admitir múltiples empresas activas simultáneamente sin posibilidad de lectura, relación o modificación cruzada.</w:t>
      </w:r>
    </w:p>
    <w:p>
      <w:pPr>
        <w:pStyle w:val="Heading2"/>
        <w:keepNext/>
      </w:pPr>
      <w:r>
        <w:rPr>
          <w:lang w:val="es-CR"/>
        </w:rPr>
        <w:t>5.1 Empresa usuario y establecimiento</w:t>
      </w:r>
    </w:p>
    <w:p>
      <w:pPr>
        <w:pStyle w:val="Code"/>
        <w:keepLines/>
      </w:pPr>
      <w:r>
        <w:rPr>
          <w:lang w:val="es-CR"/>
        </w:rPr>
        <w:t>Usuario ──&lt; organization_users &gt;── Organización ──&lt; branches</w:t>
        <w:br/>
        <w:t xml:space="preserve">                                      │</w:t>
        <w:br/>
        <w:t xml:space="preserve">                                      ├── clientes</w:t>
        <w:br/>
        <w:t xml:space="preserve">                                      ├── facturas</w:t>
        <w:br/>
        <w:t xml:space="preserve">                                      ├── configuración fiscal</w:t>
        <w:br/>
        <w:t xml:space="preserve">                                      └── cuentas por cobrar</w:t>
      </w:r>
    </w:p>
    <w:p>
      <w:pPr/>
      <w:r>
        <w:rPr>
          <w:lang w:val="es-CR"/>
        </w:rPr>
        <w:t>Un usuario puede pertenecer a varias organizaciones con roles diferentes. Esto cubre propietarios, grupos empresariales y contadores que administran varias compañías. Una organización puede tener varias sucursales, establecimientos o terminales.</w:t>
      </w:r>
    </w:p>
    <w:p>
      <w:pPr>
        <w:pStyle w:val="Heading2"/>
        <w:keepNext/>
      </w:pPr>
      <w:r>
        <w:rPr>
          <w:lang w:val="es-CR"/>
        </w:rPr>
        <w:t>5.2 Identidad del tenant</w:t>
      </w:r>
    </w:p>
    <w:p>
      <w:pPr>
        <w:pStyle w:val="ListNumber"/>
        <w:spacing w:after="60"/>
      </w:pPr>
      <w:r>
        <w:rPr>
          <w:lang w:val="es-CR"/>
        </w:rPr>
        <w:t>El usuario se autentica.</w:t>
      </w:r>
    </w:p>
    <w:p>
      <w:pPr>
        <w:pStyle w:val="ListNumber"/>
        <w:spacing w:after="60"/>
      </w:pPr>
      <w:r>
        <w:rPr>
          <w:lang w:val="es-CR"/>
        </w:rPr>
        <w:t>Selecciona o conserva una organización activa de sus memberships válidos.</w:t>
      </w:r>
    </w:p>
    <w:p>
      <w:pPr>
        <w:pStyle w:val="ListNumber"/>
        <w:spacing w:after="60"/>
      </w:pPr>
      <w:r>
        <w:rPr>
          <w:lang w:val="es-CR"/>
        </w:rPr>
        <w:t>El backend valida esa pertenencia y construye TenantContext.</w:t>
      </w:r>
    </w:p>
    <w:p>
      <w:pPr>
        <w:pStyle w:val="ListNumber"/>
        <w:spacing w:after="60"/>
      </w:pPr>
      <w:r>
        <w:rPr>
          <w:lang w:val="es-CR"/>
        </w:rPr>
        <w:t>La operación usa ese contexto en autorización, consultas, comandos, eventos y auditoría.</w:t>
      </w:r>
    </w:p>
    <w:p>
      <w:pPr>
        <w:pStyle w:val="ListNumber"/>
        <w:spacing w:after="60"/>
      </w:pPr>
      <w:r>
        <w:rPr>
          <w:lang w:val="es-CR"/>
        </w:rPr>
        <w:t>La base de datos aplica restricciones y, donde corresponda, Row Level Security como barrera adicional.</w:t>
      </w:r>
    </w:p>
    <w:p>
      <w:pPr/>
      <w:r>
        <w:rPr>
          <w:lang w:val="es-CR"/>
        </w:rPr>
        <w:t>El organization_id enviado en un body, query string o header no es suficiente para autorizar una operación. Debe coincidir con la identidad y membership efectivas.</w:t>
      </w:r>
    </w:p>
    <w:p>
      <w:pPr>
        <w:pStyle w:val="Heading2"/>
        <w:keepNext/>
      </w:pPr>
      <w:r>
        <w:rPr>
          <w:lang w:val="es-CR"/>
        </w:rPr>
        <w:t>5.3 Aislamiento reforzado en PostgreSQL</w:t>
      </w:r>
    </w:p>
    <w:p>
      <w:pPr>
        <w:pStyle w:val="ListBullet"/>
        <w:spacing w:after="60"/>
      </w:pPr>
      <w:r>
        <w:rPr>
          <w:lang w:val="es-CR"/>
        </w:rPr>
        <w:t>Columnas organization_id obligatorias y no anulables.</w:t>
      </w:r>
    </w:p>
    <w:p>
      <w:pPr>
        <w:pStyle w:val="ListBullet"/>
        <w:spacing w:after="60"/>
      </w:pPr>
      <w:r>
        <w:rPr>
          <w:lang w:val="es-CR"/>
        </w:rPr>
        <w:t>Índices y unicidades compuestas por tenant.</w:t>
      </w:r>
    </w:p>
    <w:p>
      <w:pPr>
        <w:pStyle w:val="ListBullet"/>
        <w:spacing w:after="60"/>
      </w:pPr>
      <w:r>
        <w:rPr>
          <w:lang w:val="es-CR"/>
        </w:rPr>
        <w:t>FK compuestas que impidan relaciones cross tenant.</w:t>
      </w:r>
    </w:p>
    <w:p>
      <w:pPr>
        <w:pStyle w:val="ListBullet"/>
        <w:spacing w:after="60"/>
      </w:pPr>
      <w:r>
        <w:rPr>
          <w:lang w:val="es-CR"/>
        </w:rPr>
        <w:t>RLS evaluado para tablas sensibles, con políticas probadas.</w:t>
      </w:r>
    </w:p>
    <w:p>
      <w:pPr>
        <w:pStyle w:val="ListBullet"/>
        <w:spacing w:after="60"/>
      </w:pPr>
      <w:r>
        <w:rPr>
          <w:lang w:val="es-CR"/>
        </w:rPr>
        <w:t>Roles de conexión con mínimo privilegio.</w:t>
      </w:r>
    </w:p>
    <w:p>
      <w:pPr>
        <w:pStyle w:val="ListBullet"/>
        <w:spacing w:after="60"/>
      </w:pPr>
      <w:r>
        <w:rPr>
          <w:lang w:val="es-CR"/>
        </w:rPr>
        <w:t>Pruebas automatizadas negativas de aislamiento.</w:t>
      </w:r>
    </w:p>
    <w:p>
      <w:pPr>
        <w:pStyle w:val="ListBullet"/>
        <w:spacing w:after="60"/>
      </w:pPr>
      <w:r>
        <w:rPr>
          <w:lang w:val="es-CR"/>
        </w:rPr>
        <w:t>Backups cifrados y restauraciones ensayadas.</w:t>
      </w:r>
    </w:p>
    <w:p>
      <w:pPr>
        <w:pStyle w:val="Heading2"/>
        <w:keepNext/>
      </w:pPr>
      <w:r>
        <w:rPr>
          <w:lang w:val="es-CR"/>
        </w:rPr>
        <w:t>5.4 Suscripción de la plataforma</w:t>
      </w:r>
    </w:p>
    <w:p>
      <w:pPr/>
      <w:r>
        <w:rPr>
          <w:lang w:val="es-CR"/>
        </w:rPr>
        <w:t>La facturación que la PYME realiza a sus clientes no debe mezclarse con lo que la plataforma cobra a la PYME. Planes, suscripciones, límites y pagos del SaaS pertenecen a subscriptions.* o platform.*.</w:t>
      </w:r>
    </w:p>
    <w:p>
      <w:pPr>
        <w:pStyle w:val="Heading1"/>
        <w:keepNext/>
      </w:pPr>
      <w:r>
        <w:rPr>
          <w:lang w:val="es-CR"/>
        </w:rPr>
        <w:t>6 Integración y eventos</w:t>
      </w:r>
    </w:p>
    <w:p>
      <w:pPr>
        <w:pStyle w:val="Heading2"/>
        <w:keepNext/>
      </w:pPr>
      <w:r>
        <w:rPr>
          <w:lang w:val="es-CR"/>
        </w:rPr>
        <w:t>6.1 Flujo principal de emisión</w:t>
      </w:r>
    </w:p>
    <w:p>
      <w:pPr>
        <w:pStyle w:val="Code"/>
        <w:keepLines/>
      </w:pPr>
      <w:r>
        <w:rPr>
          <w:lang w:val="es-CR"/>
        </w:rPr>
        <w:t>POST /invoices</w:t>
        <w:br/>
        <w:t xml:space="preserve">      │</w:t>
        <w:br/>
        <w:t xml:space="preserve">      ▼</w:t>
        <w:br/>
        <w:t>Billing crea Invoice y OutboxMessage en una transacción</w:t>
        <w:br/>
        <w:t xml:space="preserve">      │</w:t>
        <w:br/>
        <w:t xml:space="preserve">      └── publica InvoiceIssued v1</w:t>
        <w:br/>
        <w:t xml:space="preserve">              ├── E Invoice crea documento y procesa Hacienda</w:t>
        <w:br/>
        <w:t xml:space="preserve">              └── Receivables crea la cuenta por cobrar</w:t>
        <w:br/>
        <w:br/>
        <w:t>Billing responde 201 sin esperar la respuesta de Hacienda.</w:t>
      </w:r>
    </w:p>
    <w:p>
      <w:pPr/>
      <w:r>
        <w:rPr>
          <w:lang w:val="es-CR"/>
        </w:rPr>
        <w:t>La factura comercial y el documento electrónico tienen máquinas de estado diferentes. Una factura puede estar ISSUED mientras el documento fiscal está PROCESSING, ACCEPTED o REJECTED.</w:t>
      </w:r>
    </w:p>
    <w:p>
      <w:pPr>
        <w:pStyle w:val="Heading2"/>
        <w:keepNext/>
      </w:pPr>
      <w:r>
        <w:rPr>
          <w:lang w:val="es-CR"/>
        </w:rPr>
        <w:t>6.2 Catálogo inicial de eventos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1440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Productor</w:t>
            </w:r>
          </w:p>
        </w:tc>
        <w:tc>
          <w:tcPr>
            <w:tcW w:type="dxa" w:w="2376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Consumidores</w:t>
            </w:r>
          </w:p>
        </w:tc>
        <w:tc>
          <w:tcPr>
            <w:tcW w:type="dxa" w:w="2880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InvoiceIssued v1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Fiscal y Receivables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Crear documento fiscal y CxC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InvoiceCancelled v1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Fiscal y Receivables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Iniciar corrección o reverso permitido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CreditNoteIssued v1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Fiscal y Receivables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Documento fiscal y ajuste de saldo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DebitNoteIssued v1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Fiscal y Receivables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Documento fiscal y aumento de saldo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ElectronicDocumentAccepted v1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Fiscal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BFF Billing notificaciones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Mostrar aceptación y habilitar acciones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ElectronicDocumentRejected v1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Fiscal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BFF Billing notificaciones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Alertar y gestionar corrección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PaymentReceived v1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Receivables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BFF reportes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Actualizar vistas y notificaciones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ReceivableSettled v1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Receivables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BFF reportes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Marcar saldo cancelado en read models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lang w:val="es-CR"/>
        </w:rPr>
        <w:t>6.3 Contrato mínimo de InvoiceIssued</w:t>
      </w:r>
    </w:p>
    <w:p>
      <w:pPr>
        <w:pStyle w:val="Code"/>
        <w:keepLines/>
      </w:pPr>
      <w:r>
        <w:rPr>
          <w:lang w:val="es-CR"/>
        </w:rPr>
        <w:t>{</w:t>
        <w:br/>
        <w:t xml:space="preserve">  "eventId": "uuid",</w:t>
        <w:br/>
        <w:t xml:space="preserve">  "eventType": "InvoiceIssued",</w:t>
        <w:br/>
        <w:t xml:space="preserve">  "version": 1,</w:t>
        <w:br/>
        <w:t xml:space="preserve">  "occurredAt": "ISO-8601",</w:t>
        <w:br/>
        <w:t xml:space="preserve">  "correlationId": "uuid",</w:t>
        <w:br/>
        <w:t xml:space="preserve">  "organizationId": "uuid",</w:t>
        <w:br/>
        <w:t xml:space="preserve">  "invoiceId": "uuid",</w:t>
        <w:br/>
        <w:t xml:space="preserve">  "branchId": "uuid",</w:t>
        <w:br/>
        <w:t xml:space="preserve">  "invoiceNumber": "string",</w:t>
        <w:br/>
        <w:t xml:space="preserve">  "customerSnapshot": { "name": "...", "identification": "...", "email": "..." },</w:t>
        <w:br/>
        <w:t xml:space="preserve">  "currency": "CRC",</w:t>
        <w:br/>
        <w:t xml:space="preserve">  "subtotal": 10000,</w:t>
        <w:br/>
        <w:t xml:space="preserve">  "tax": 1300,</w:t>
        <w:br/>
        <w:t xml:space="preserve">  "total": 11300</w:t>
        <w:br/>
        <w:t>}</w:t>
      </w:r>
    </w:p>
    <w:p>
      <w:pPr/>
      <w:r>
        <w:rPr>
          <w:lang w:val="es-CR"/>
        </w:rPr>
        <w:t>Las líneas, descuentos, exoneraciones y demás datos fiscales requerirán un contrato completo antes de desarrollar. Los montos deben usar decimal o unidades menores acordadas; nunca float.</w:t>
      </w:r>
    </w:p>
    <w:p>
      <w:pPr>
        <w:pStyle w:val="Heading2"/>
        <w:keepNext/>
      </w:pPr>
      <w:r>
        <w:rPr>
          <w:lang w:val="es-CR"/>
        </w:rPr>
        <w:t>6.4 Confiabilidad</w:t>
      </w:r>
    </w:p>
    <w:p>
      <w:pPr>
        <w:pStyle w:val="ListBullet"/>
        <w:spacing w:after="60"/>
      </w:pPr>
      <w:r>
        <w:rPr>
          <w:lang w:val="es-CR"/>
        </w:rPr>
        <w:t>Transactional outbox para guardar factura y evento atómicamente.</w:t>
      </w:r>
    </w:p>
    <w:p>
      <w:pPr>
        <w:pStyle w:val="ListBullet"/>
        <w:spacing w:after="60"/>
      </w:pPr>
      <w:r>
        <w:rPr>
          <w:lang w:val="es-CR"/>
        </w:rPr>
        <w:t>Inbox o tabla de eventos procesados para idempotencia en consumidores.</w:t>
      </w:r>
    </w:p>
    <w:p>
      <w:pPr>
        <w:pStyle w:val="ListBullet"/>
        <w:spacing w:after="60"/>
      </w:pPr>
      <w:r>
        <w:rPr>
          <w:lang w:val="es-CR"/>
        </w:rPr>
        <w:t>eventId único y claves idempotentes por operación.</w:t>
      </w:r>
    </w:p>
    <w:p>
      <w:pPr>
        <w:pStyle w:val="ListBullet"/>
        <w:spacing w:after="60"/>
      </w:pPr>
      <w:r>
        <w:rPr>
          <w:lang w:val="es-CR"/>
        </w:rPr>
        <w:t>Reintentos con backoff y dead letter queue.</w:t>
      </w:r>
    </w:p>
    <w:p>
      <w:pPr>
        <w:pStyle w:val="ListBullet"/>
        <w:spacing w:after="60"/>
      </w:pPr>
      <w:r>
        <w:rPr>
          <w:lang w:val="es-CR"/>
        </w:rPr>
        <w:t>Correlation ID propagado entre API, evento, worker y auditoría.</w:t>
      </w:r>
    </w:p>
    <w:p>
      <w:pPr>
        <w:pStyle w:val="ListBullet"/>
        <w:spacing w:after="60"/>
      </w:pPr>
      <w:r>
        <w:rPr>
          <w:lang w:val="es-CR"/>
        </w:rPr>
        <w:t>Contratos compatibles hacia atrás y versionados explícitamente.</w:t>
      </w:r>
    </w:p>
    <w:p>
      <w:pPr/>
      <w:r>
        <w:rPr>
          <w:lang w:val="es-CR"/>
        </w:rPr>
        <w:br w:type="page"/>
      </w:r>
    </w:p>
    <w:p>
      <w:pPr>
        <w:pStyle w:val="Heading1"/>
        <w:keepNext/>
      </w:pPr>
      <w:r>
        <w:rPr>
          <w:lang w:val="es-CR"/>
        </w:rPr>
        <w:t>7 Seguridad aislamiento y auditoría</w:t>
      </w:r>
    </w:p>
    <w:p>
      <w:pPr>
        <w:pStyle w:val="Heading2"/>
        <w:keepNext/>
      </w:pPr>
      <w:r>
        <w:rPr>
          <w:lang w:val="es-CR"/>
        </w:rPr>
        <w:t>7.1 Respuesta ante auditorías de clientes</w:t>
      </w:r>
    </w:p>
    <w:p>
      <w:pPr/>
      <w:r>
        <w:rPr>
          <w:lang w:val="es-CR"/>
        </w:rPr>
        <w:t>Una base compartida no es, por sí sola, una debilidad de auditoría. El riesgo real es no poder demostrar aislamiento, autorización, integridad, trazabilidad, retención y capacidad de recuperación. El sistema debe producir evidencia verificable de esos controles.</w:t>
      </w:r>
    </w:p>
    <w:p>
      <w:pPr>
        <w:pStyle w:val="Heading2"/>
        <w:keepNext/>
      </w:pPr>
      <w:r>
        <w:rPr>
          <w:lang w:val="es-CR"/>
        </w:rPr>
        <w:t>7.2 Capas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656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960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 esperado</w:t>
            </w:r>
          </w:p>
        </w:tc>
        <w:tc>
          <w:tcPr>
            <w:tcW w:type="dxa" w:w="3672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Identidad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Autenticación robusta y sesiones seguras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Registros de autenticación y configuración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Autorización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Membership y rol por organización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Pruebas y matriz de permisos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Aplicación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TenantContext obligatorio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Tests de integración y revisión de código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FK compuestas, roles y RLS selectivo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DDL, políticas y pruebas negativas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Cifrado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TLS en tránsito y cifrado en reposo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Configuración del proveedor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Auditoría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Eventos de negocio inmutables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Exportación por tenant y correlación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Operación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Backups, restore drills y monitoreo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Reportes de ejecución y alertas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lang w:val="es-CR"/>
        </w:rPr>
        <w:t>7.3 Auditoría de negocio</w:t>
      </w:r>
    </w:p>
    <w:p>
      <w:pPr/>
      <w:r>
        <w:rPr>
          <w:lang w:val="es-CR"/>
        </w:rPr>
        <w:t>La auditoría registra quién hizo qué, sobre cuál entidad, para qué organización y cuándo. Debe separarse de los logs técnicos. Un error HTTP 500 ayuda a operar el sistema; no demuestra el cambio de estado de una factura.</w:t>
      </w:r>
    </w:p>
    <w:p>
      <w:pPr>
        <w:pStyle w:val="Code"/>
        <w:keepLines/>
      </w:pPr>
      <w:r>
        <w:rPr>
          <w:lang w:val="es-CR"/>
        </w:rPr>
        <w:t>audit.audit_events</w:t>
        <w:br/>
        <w:t>id | organization_id | actor_user_id | action | entity_type | entity_id</w:t>
        <w:br/>
        <w:t>occurred_at | correlation_id | source_service | ip_address | metadata</w:t>
        <w:br/>
        <w:br/>
        <w:t>Ejemplo: Invoice 123  DRAFT → ISSUED  por user X  organization Y</w:t>
      </w:r>
    </w:p>
    <w:p>
      <w:pPr>
        <w:pStyle w:val="ListBullet"/>
        <w:spacing w:after="60"/>
      </w:pPr>
      <w:r>
        <w:rPr>
          <w:lang w:val="es-CR"/>
        </w:rPr>
        <w:t>Append only y sin UPDATE o DELETE para usuarios de aplicación.</w:t>
      </w:r>
    </w:p>
    <w:p>
      <w:pPr>
        <w:pStyle w:val="ListBullet"/>
        <w:spacing w:after="60"/>
      </w:pPr>
      <w:r>
        <w:rPr>
          <w:lang w:val="es-CR"/>
        </w:rPr>
        <w:t>Registro de valores anteriores y nuevos cuando sea apropiado.</w:t>
      </w:r>
    </w:p>
    <w:p>
      <w:pPr>
        <w:pStyle w:val="ListBullet"/>
        <w:spacing w:after="60"/>
      </w:pPr>
      <w:r>
        <w:rPr>
          <w:lang w:val="es-CR"/>
        </w:rPr>
        <w:t>Motivo obligatorio para anulaciones, reversos y cambios sensibles.</w:t>
      </w:r>
    </w:p>
    <w:p>
      <w:pPr>
        <w:pStyle w:val="ListBullet"/>
        <w:spacing w:after="60"/>
      </w:pPr>
      <w:r>
        <w:rPr>
          <w:lang w:val="es-CR"/>
        </w:rPr>
        <w:t>Timestamps en UTC y presentación en zona horaria de la organización.</w:t>
      </w:r>
    </w:p>
    <w:p>
      <w:pPr>
        <w:pStyle w:val="ListBullet"/>
        <w:spacing w:after="60"/>
      </w:pPr>
      <w:r>
        <w:rPr>
          <w:lang w:val="es-CR"/>
        </w:rPr>
        <w:t>Acceso a exportación de auditoría limitado por rol.</w:t>
      </w:r>
    </w:p>
    <w:p>
      <w:pPr>
        <w:pStyle w:val="ListBullet"/>
        <w:spacing w:after="60"/>
      </w:pPr>
      <w:r>
        <w:rPr>
          <w:lang w:val="es-CR"/>
        </w:rPr>
        <w:t>Protección de metadata para no almacenar secretos ni datos personales innecesarios.</w:t>
      </w:r>
    </w:p>
    <w:p>
      <w:pPr>
        <w:pStyle w:val="Heading2"/>
        <w:keepNext/>
      </w:pPr>
      <w:r>
        <w:rPr>
          <w:lang w:val="es-CR"/>
        </w:rPr>
        <w:t>7.4 Inmutabilidad financiera y fiscal</w:t>
      </w:r>
    </w:p>
    <w:p>
      <w:pPr/>
      <w:r>
        <w:rPr>
          <w:lang w:val="es-CR"/>
        </w:rPr>
        <w:t>Una factura emitida no debe editarse como si fuera borrador. Las correcciones se realizan mediante flujos explícitos, notas de crédito o débito, anulaciones permitidas y nuevos documentos. XML firmados, respuestas y evidencias deben conservarse de acuerdo con las reglas vigentes que se validen.</w:t>
      </w:r>
    </w:p>
    <w:p>
      <w:pPr>
        <w:pStyle w:val="Heading2"/>
        <w:keepNext/>
      </w:pPr>
      <w:r>
        <w:rPr>
          <w:lang w:val="es-CR"/>
        </w:rPr>
        <w:t>7.5 Oferta enterprise futura</w:t>
      </w:r>
    </w:p>
    <w:p>
      <w:pPr/>
      <w:r>
        <w:rPr>
          <w:lang w:val="es-CR"/>
        </w:rPr>
        <w:t>La arquitectura puede ofrecer dos niveles sin alterar el modelo funcional: modalidad estándar con infraestructura compartida y aislamiento lógico; modalidad enterprise con base o infraestructura dedicada, SSO, claves propias, mayor retención y controles contractuales específicos. No es necesario construir la modalidad dedicada en V1.</w:t>
      </w:r>
    </w:p>
    <w:p>
      <w:pPr>
        <w:pStyle w:val="Heading1"/>
        <w:keepNext/>
      </w:pPr>
      <w:r>
        <w:rPr>
          <w:lang w:val="es-CR"/>
        </w:rPr>
        <w:t>8 Operación y evolución</w:t>
      </w:r>
    </w:p>
    <w:p>
      <w:pPr>
        <w:pStyle w:val="Heading2"/>
        <w:keepNext/>
      </w:pPr>
      <w:r>
        <w:rPr>
          <w:lang w:val="es-CR"/>
        </w:rPr>
        <w:t>8.1 Independencia de despliegue</w:t>
      </w:r>
    </w:p>
    <w:p>
      <w:pPr/>
      <w:r>
        <w:rPr>
          <w:lang w:val="es-CR"/>
        </w:rPr>
        <w:t>Cada API posee su pipeline, Dockerfile, health checks, migraciones, pruebas, métricas y despliegue. Compartir PostgreSQL no debe obligar a desplegar las tres simultáneamente.</w:t>
      </w:r>
    </w:p>
    <w:p>
      <w:pPr>
        <w:pStyle w:val="Heading2"/>
        <w:keepNext/>
      </w:pPr>
      <w:r>
        <w:rPr>
          <w:lang w:val="es-CR"/>
        </w:rPr>
        <w:t>8.2 Observabilidad</w:t>
      </w:r>
    </w:p>
    <w:p>
      <w:pPr>
        <w:pStyle w:val="ListBullet"/>
        <w:spacing w:after="60"/>
      </w:pPr>
      <w:r>
        <w:rPr>
          <w:lang w:val="es-CR"/>
        </w:rPr>
        <w:t>Logs estructurados con organizationId, correlationId y service.</w:t>
      </w:r>
    </w:p>
    <w:p>
      <w:pPr>
        <w:pStyle w:val="ListBullet"/>
        <w:spacing w:after="60"/>
      </w:pPr>
      <w:r>
        <w:rPr>
          <w:lang w:val="es-CR"/>
        </w:rPr>
        <w:t>Métricas de latencia, errores, colas, reintentos y documentos pendientes.</w:t>
      </w:r>
    </w:p>
    <w:p>
      <w:pPr>
        <w:pStyle w:val="ListBullet"/>
        <w:spacing w:after="60"/>
      </w:pPr>
      <w:r>
        <w:rPr>
          <w:lang w:val="es-CR"/>
        </w:rPr>
        <w:t>Trazas distribuidas entre BFF, APIs y workers.</w:t>
      </w:r>
    </w:p>
    <w:p>
      <w:pPr>
        <w:pStyle w:val="ListBullet"/>
        <w:spacing w:after="60"/>
      </w:pPr>
      <w:r>
        <w:rPr>
          <w:lang w:val="es-CR"/>
        </w:rPr>
        <w:t>Alertas por tasa de rechazo de Hacienda, cola estancada y fallos de publicación.</w:t>
      </w:r>
    </w:p>
    <w:p>
      <w:pPr>
        <w:pStyle w:val="ListBullet"/>
        <w:spacing w:after="60"/>
      </w:pPr>
      <w:r>
        <w:rPr>
          <w:lang w:val="es-CR"/>
        </w:rPr>
        <w:t>Dashboards técnicos separados de reportes de auditoría de negocio.</w:t>
      </w:r>
    </w:p>
    <w:p>
      <w:pPr>
        <w:pStyle w:val="Heading2"/>
        <w:keepNext/>
      </w:pPr>
      <w:r>
        <w:rPr>
          <w:lang w:val="es-CR"/>
        </w:rPr>
        <w:t>8.3 Estrategia de extracción futura</w:t>
      </w:r>
    </w:p>
    <w:p>
      <w:pPr/>
      <w:r>
        <w:rPr>
          <w:lang w:val="es-CR"/>
        </w:rPr>
        <w:t>Fiscal es el principal candidato a separarse en una base propia por su dependencia externa, carga asíncrona y potencial reutilización por Slatiko, Garage, Kitchen u otros productos. Mantener fiscal.* autocontenido facilita esa extracción. Receivables podría separarse después si gana suficiente complejidad o escala.</w:t>
      </w:r>
    </w:p>
    <w:p>
      <w:pPr>
        <w:pStyle w:val="Heading1"/>
        <w:keepNext/>
      </w:pPr>
      <w:r>
        <w:rPr>
          <w:lang w:val="es-CR"/>
        </w:rPr>
        <w:t>9 Riesgos y mitigaciones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2376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664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248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JOINs indiscriminados entre schemas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Monolito distribuido y dependencia circular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Permisos, revisión, BFF y read models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Fuga cross tenant por consulta incompleta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Exposición crítica de datos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TenantContext, RLS selectivo, FK compuestas y tests negativos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Hacienda bloquea Billing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Facturación indisponible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Procesamiento asíncrono y outbox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Evento duplicado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CxC o documento duplicado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Inbox e idempotencia con índices únicos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Migraciones incompatibles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Caídas entre deploys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Cambios expand migrate contract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Auditoría mezclada con logs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Evidencia insuficiente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audit.* append only y política de retención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Snapshots incompletos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Historia fiscal inconsistente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Contrato y esquema de snapshot obligatorio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Base compartida como punto único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Mayor radio de impacto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Backups, HA, PITR, restore drills y límites de conexión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lang w:val="es-CR"/>
        </w:rPr>
        <w:t>10 Plan de implementación</w:t>
      </w:r>
    </w:p>
    <w:p>
      <w:pPr>
        <w:pStyle w:val="Heading2"/>
        <w:keepNext/>
      </w:pPr>
      <w:r>
        <w:rPr>
          <w:lang w:val="es-CR"/>
        </w:rPr>
        <w:t>Fase 0 Acuerdos del equipo</w:t>
      </w:r>
    </w:p>
    <w:p>
      <w:pPr>
        <w:pStyle w:val="ListBullet"/>
        <w:spacing w:after="60"/>
      </w:pPr>
      <w:r>
        <w:rPr>
          <w:lang w:val="es-CR"/>
        </w:rPr>
        <w:t>Glosario común y límites de cada dominio.</w:t>
      </w:r>
    </w:p>
    <w:p>
      <w:pPr>
        <w:pStyle w:val="ListBullet"/>
        <w:spacing w:after="60"/>
      </w:pPr>
      <w:r>
        <w:rPr>
          <w:lang w:val="es-CR"/>
        </w:rPr>
        <w:t>Ownership de tablas y matriz de permisos.</w:t>
      </w:r>
    </w:p>
    <w:p>
      <w:pPr>
        <w:pStyle w:val="ListBullet"/>
        <w:spacing w:after="60"/>
      </w:pPr>
      <w:r>
        <w:rPr>
          <w:lang w:val="es-CR"/>
        </w:rPr>
        <w:t>Estados de Invoice, ElectronicDocument y Receivable.</w:t>
      </w:r>
    </w:p>
    <w:p>
      <w:pPr>
        <w:pStyle w:val="ListBullet"/>
        <w:spacing w:after="60"/>
      </w:pPr>
      <w:r>
        <w:rPr>
          <w:lang w:val="es-CR"/>
        </w:rPr>
        <w:t>Contrato InvoiceIssued v1 y catálogo inicial de eventos.</w:t>
      </w:r>
    </w:p>
    <w:p>
      <w:pPr>
        <w:pStyle w:val="ListBullet"/>
        <w:spacing w:after="60"/>
      </w:pPr>
      <w:r>
        <w:rPr>
          <w:lang w:val="es-CR"/>
        </w:rPr>
        <w:t>Convenciones de IDs, fechas, dinero, errores e idempotencia.</w:t>
      </w:r>
    </w:p>
    <w:p>
      <w:pPr>
        <w:pStyle w:val="Heading2"/>
        <w:keepNext/>
      </w:pPr>
      <w:r>
        <w:rPr>
          <w:lang w:val="es-CR"/>
        </w:rPr>
        <w:t>Fase 1 Núcleo multi tenant</w:t>
      </w:r>
    </w:p>
    <w:p>
      <w:pPr>
        <w:pStyle w:val="ListBullet"/>
        <w:spacing w:after="60"/>
      </w:pPr>
      <w:r>
        <w:rPr>
          <w:lang w:val="es-CR"/>
        </w:rPr>
        <w:t>core.organizations, users, organization_users y branches.</w:t>
      </w:r>
    </w:p>
    <w:p>
      <w:pPr>
        <w:pStyle w:val="ListBullet"/>
        <w:spacing w:after="60"/>
      </w:pPr>
      <w:r>
        <w:rPr>
          <w:lang w:val="es-CR"/>
        </w:rPr>
        <w:t>Autenticación, selección de organización y TenantContext.</w:t>
      </w:r>
    </w:p>
    <w:p>
      <w:pPr>
        <w:pStyle w:val="ListBullet"/>
        <w:spacing w:after="60"/>
      </w:pPr>
      <w:r>
        <w:rPr>
          <w:lang w:val="es-CR"/>
        </w:rPr>
        <w:t>Roles iniciales y pruebas cross tenant.</w:t>
      </w:r>
    </w:p>
    <w:p>
      <w:pPr>
        <w:pStyle w:val="ListBullet"/>
        <w:spacing w:after="60"/>
      </w:pPr>
      <w:r>
        <w:rPr>
          <w:lang w:val="es-CR"/>
        </w:rPr>
        <w:t>Base de auditoría y correlation IDs.</w:t>
      </w:r>
    </w:p>
    <w:p>
      <w:pPr>
        <w:pStyle w:val="Heading2"/>
        <w:keepNext/>
      </w:pPr>
      <w:r>
        <w:rPr>
          <w:lang w:val="es-CR"/>
        </w:rPr>
        <w:t>Fase 2 Esqueleto de servicios</w:t>
      </w:r>
    </w:p>
    <w:p>
      <w:pPr>
        <w:pStyle w:val="ListBullet"/>
        <w:spacing w:after="60"/>
      </w:pPr>
      <w:r>
        <w:rPr>
          <w:lang w:val="es-CR"/>
        </w:rPr>
        <w:t>Repositorios y pipelines independientes.</w:t>
      </w:r>
    </w:p>
    <w:p>
      <w:pPr>
        <w:pStyle w:val="ListBullet"/>
        <w:spacing w:after="60"/>
      </w:pPr>
      <w:r>
        <w:rPr>
          <w:lang w:val="es-CR"/>
        </w:rPr>
        <w:t>Roles PostgreSQL y schemas.</w:t>
      </w:r>
    </w:p>
    <w:p>
      <w:pPr>
        <w:pStyle w:val="ListBullet"/>
        <w:spacing w:after="60"/>
      </w:pPr>
      <w:r>
        <w:rPr>
          <w:lang w:val="es-CR"/>
        </w:rPr>
        <w:t>Health checks, telemetría y manejo de errores.</w:t>
      </w:r>
    </w:p>
    <w:p>
      <w:pPr>
        <w:pStyle w:val="ListBullet"/>
        <w:spacing w:after="60"/>
      </w:pPr>
      <w:r>
        <w:rPr>
          <w:lang w:val="es-CR"/>
        </w:rPr>
        <w:t>Outbox, bus de mensajes e inbox idempotente.</w:t>
      </w:r>
    </w:p>
    <w:p>
      <w:pPr>
        <w:pStyle w:val="Heading2"/>
        <w:keepNext/>
      </w:pPr>
      <w:r>
        <w:rPr>
          <w:lang w:val="es-CR"/>
        </w:rPr>
        <w:t>Fase 3 Flujo vertical mínimo</w:t>
      </w:r>
    </w:p>
    <w:p>
      <w:pPr>
        <w:pStyle w:val="ListBullet"/>
        <w:spacing w:after="60"/>
      </w:pPr>
      <w:r>
        <w:rPr>
          <w:lang w:val="es-CR"/>
        </w:rPr>
        <w:t>Crear cliente y producto.</w:t>
      </w:r>
    </w:p>
    <w:p>
      <w:pPr>
        <w:pStyle w:val="ListBullet"/>
        <w:spacing w:after="60"/>
      </w:pPr>
      <w:r>
        <w:rPr>
          <w:lang w:val="es-CR"/>
        </w:rPr>
        <w:t>Crear y emitir factura.</w:t>
      </w:r>
    </w:p>
    <w:p>
      <w:pPr>
        <w:pStyle w:val="ListBullet"/>
        <w:spacing w:after="60"/>
      </w:pPr>
      <w:r>
        <w:rPr>
          <w:lang w:val="es-CR"/>
        </w:rPr>
        <w:t>Publicar InvoiceIssued.</w:t>
      </w:r>
    </w:p>
    <w:p>
      <w:pPr>
        <w:pStyle w:val="ListBullet"/>
        <w:spacing w:after="60"/>
      </w:pPr>
      <w:r>
        <w:rPr>
          <w:lang w:val="es-CR"/>
        </w:rPr>
        <w:t>Crear documento fiscal en estado Processing.</w:t>
      </w:r>
    </w:p>
    <w:p>
      <w:pPr>
        <w:pStyle w:val="ListBullet"/>
        <w:spacing w:after="60"/>
      </w:pPr>
      <w:r>
        <w:rPr>
          <w:lang w:val="es-CR"/>
        </w:rPr>
        <w:t>Crear cuenta por cobrar.</w:t>
      </w:r>
    </w:p>
    <w:p>
      <w:pPr>
        <w:pStyle w:val="ListBullet"/>
        <w:spacing w:after="60"/>
      </w:pPr>
      <w:r>
        <w:rPr>
          <w:lang w:val="es-CR"/>
        </w:rPr>
        <w:t>Mostrar vista transversal desde el BFF.</w:t>
      </w:r>
    </w:p>
    <w:p>
      <w:pPr>
        <w:pStyle w:val="Heading2"/>
        <w:keepNext/>
      </w:pPr>
      <w:r>
        <w:rPr>
          <w:lang w:val="es-CR"/>
        </w:rPr>
        <w:t>Fase 4 Integración fiscal real</w:t>
      </w:r>
    </w:p>
    <w:p>
      <w:pPr>
        <w:pStyle w:val="ListBullet"/>
        <w:spacing w:after="60"/>
      </w:pPr>
      <w:r>
        <w:rPr>
          <w:lang w:val="es-CR"/>
        </w:rPr>
        <w:t>Configuración por organización, sucursal y terminal.</w:t>
      </w:r>
    </w:p>
    <w:p>
      <w:pPr>
        <w:pStyle w:val="ListBullet"/>
        <w:spacing w:after="60"/>
      </w:pPr>
      <w:r>
        <w:rPr>
          <w:lang w:val="es-CR"/>
        </w:rPr>
        <w:t>Generación, firma, envío y consulta.</w:t>
      </w:r>
    </w:p>
    <w:p>
      <w:pPr>
        <w:pStyle w:val="ListBullet"/>
        <w:spacing w:after="60"/>
      </w:pPr>
      <w:r>
        <w:rPr>
          <w:lang w:val="es-CR"/>
        </w:rPr>
        <w:t>Reintentos y contingencia.</w:t>
      </w:r>
    </w:p>
    <w:p>
      <w:pPr>
        <w:pStyle w:val="ListBullet"/>
        <w:spacing w:after="60"/>
      </w:pPr>
      <w:r>
        <w:rPr>
          <w:lang w:val="es-CR"/>
        </w:rPr>
        <w:t>Persistencia de XML y respuestas.</w:t>
      </w:r>
    </w:p>
    <w:p>
      <w:pPr>
        <w:pStyle w:val="ListBullet"/>
        <w:spacing w:after="60"/>
      </w:pPr>
      <w:r>
        <w:rPr>
          <w:lang w:val="es-CR"/>
        </w:rPr>
        <w:t>Validación contra normativa vigente.</w:t>
      </w:r>
    </w:p>
    <w:p>
      <w:pPr>
        <w:pStyle w:val="Heading2"/>
        <w:keepNext/>
      </w:pPr>
      <w:r>
        <w:rPr>
          <w:lang w:val="es-CR"/>
        </w:rPr>
        <w:t>Fase 5 Cobranza y operación</w:t>
      </w:r>
    </w:p>
    <w:p>
      <w:pPr>
        <w:pStyle w:val="ListBullet"/>
        <w:spacing w:after="60"/>
      </w:pPr>
      <w:r>
        <w:rPr>
          <w:lang w:val="es-CR"/>
        </w:rPr>
        <w:t>Pagos y payment applications.</w:t>
      </w:r>
    </w:p>
    <w:p>
      <w:pPr>
        <w:pStyle w:val="ListBullet"/>
        <w:spacing w:after="60"/>
      </w:pPr>
      <w:r>
        <w:rPr>
          <w:lang w:val="es-CR"/>
        </w:rPr>
        <w:t>Vencimientos, aging y seguimientos.</w:t>
      </w:r>
    </w:p>
    <w:p>
      <w:pPr>
        <w:pStyle w:val="ListBullet"/>
        <w:spacing w:after="60"/>
      </w:pPr>
      <w:r>
        <w:rPr>
          <w:lang w:val="es-CR"/>
        </w:rPr>
        <w:t>Notas de crédito y débito end to end.</w:t>
      </w:r>
    </w:p>
    <w:p>
      <w:pPr>
        <w:pStyle w:val="ListBullet"/>
        <w:spacing w:after="60"/>
      </w:pPr>
      <w:r>
        <w:rPr>
          <w:lang w:val="es-CR"/>
        </w:rPr>
        <w:t>Exportación de auditoría, backups y pruebas de restauración.</w:t>
      </w:r>
    </w:p>
    <w:p>
      <w:pPr>
        <w:pStyle w:val="Heading1"/>
        <w:keepNext/>
      </w:pPr>
      <w:r>
        <w:rPr>
          <w:lang w:val="es-CR"/>
        </w:rPr>
        <w:t>11 Decisiones 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944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4680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 a resolver</w:t>
            </w:r>
          </w:p>
        </w:tc>
        <w:tc>
          <w:tcPr>
            <w:tcW w:type="dxa" w:w="2664"/>
            <w:shd w:fill="243B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Responsables sugeridos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Proveedor de identidad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¿Propio, Supabase, Auth0, Azure AD u otro?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Equipo completo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Mensajería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¿PostgreSQL outbox con worker, RabbitMQ, cloud queue?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Arquitectura e infraestructura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RLS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¿En cuáles tablas y con qué mecanismo de sesión?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Backend y seguridad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Impuestos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¿Billing calcula y Fiscal valida o existe motor común?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Billing y Fiscal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CABYS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¿Quién mantiene catálogo, búsqueda y versionado?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Fiscal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Consecutivos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¿Alcance exacto por organización, sucursal y terminal?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Fiscal y contabilidad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Almacenamiento XML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¿BD, object storage o estrategia híbrida?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Fiscal e infraestructura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Retención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¿Plazos para XML, respuestas, auditoría y logs?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Legal, fiscal y seguridad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PII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¿Clasificación, exportación, rectificación y borrado aplicable?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Legal y seguridad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Planes SaaS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¿Límites por documentos, usuarios o sucursales?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/>
            </w:pPr>
            <w:r>
              <w:rPr>
                <w:sz w:val="18"/>
              </w:rPr>
              <w:t>Producto</w:t>
            </w:r>
          </w:p>
        </w:tc>
      </w:tr>
    </w:tbl>
    <w:p>
      <w:pPr>
        <w:spacing w:after="20"/>
      </w:pPr>
    </w:p>
    <w:p>
      <w:pPr/>
      <w:r>
        <w:rPr>
          <w:lang w:val="es-CR"/>
        </w:rPr>
        <w:t>Antes de producción se debe revisar la normativa vigente de Hacienda de Costa Rica, la regulación aplicable de protección de datos y los compromisos contractuales ofrecidos a clientes. Este documento no fija plazos legales de conservación ni controles certificados.</w:t>
      </w:r>
    </w:p>
    <w:p>
      <w:pPr>
        <w:pStyle w:val="Heading1"/>
        <w:keepNext/>
      </w:pPr>
      <w:r>
        <w:rPr>
          <w:lang w:val="es-CR"/>
        </w:rPr>
        <w:t>12 Criterios de aceptación arquitectónica</w:t>
      </w:r>
    </w:p>
    <w:p>
      <w:pPr>
        <w:pStyle w:val="ListBullet"/>
        <w:spacing w:after="60"/>
      </w:pPr>
      <w:r>
        <w:rPr>
          <w:lang w:val="es-CR"/>
        </w:rPr>
        <w:t>Una prueba automatizada demuestra que un usuario de la organización A no puede leer ni relacionar datos de B.</w:t>
      </w:r>
    </w:p>
    <w:p>
      <w:pPr>
        <w:pStyle w:val="ListBullet"/>
        <w:spacing w:after="60"/>
      </w:pPr>
      <w:r>
        <w:rPr>
          <w:lang w:val="es-CR"/>
        </w:rPr>
        <w:t>Billing puede emitir una factura aunque E Invoice esté temporalmente fuera de servicio.</w:t>
      </w:r>
    </w:p>
    <w:p>
      <w:pPr>
        <w:pStyle w:val="ListBullet"/>
        <w:spacing w:after="60"/>
      </w:pPr>
      <w:r>
        <w:rPr>
          <w:lang w:val="es-CR"/>
        </w:rPr>
        <w:t>Reprocesar InvoiceIssued no crea documentos fiscales ni cuentas por cobrar duplicadas.</w:t>
      </w:r>
    </w:p>
    <w:p>
      <w:pPr>
        <w:pStyle w:val="ListBullet"/>
        <w:spacing w:after="60"/>
      </w:pPr>
      <w:r>
        <w:rPr>
          <w:lang w:val="es-CR"/>
        </w:rPr>
        <w:t>Cada API carece de permisos de escritura sobre schemas ajenos.</w:t>
      </w:r>
    </w:p>
    <w:p>
      <w:pPr>
        <w:pStyle w:val="ListBullet"/>
        <w:spacing w:after="60"/>
      </w:pPr>
      <w:r>
        <w:rPr>
          <w:lang w:val="es-CR"/>
        </w:rPr>
        <w:t>La factura emitida conserva snapshots aunque cambien cliente o producto.</w:t>
      </w:r>
    </w:p>
    <w:p>
      <w:pPr>
        <w:pStyle w:val="ListBullet"/>
        <w:spacing w:after="60"/>
      </w:pPr>
      <w:r>
        <w:rPr>
          <w:lang w:val="es-CR"/>
        </w:rPr>
        <w:t>Toda operación sensible produce un audit event correlacionado.</w:t>
      </w:r>
    </w:p>
    <w:p>
      <w:pPr>
        <w:pStyle w:val="ListBullet"/>
        <w:spacing w:after="60"/>
      </w:pPr>
      <w:r>
        <w:rPr>
          <w:lang w:val="es-CR"/>
        </w:rPr>
        <w:t>Una restauración de backup se ejecuta y verifica en un entorno aislado.</w:t>
      </w:r>
    </w:p>
    <w:p>
      <w:pPr>
        <w:pStyle w:val="ListBullet"/>
        <w:spacing w:after="60"/>
      </w:pPr>
      <w:r>
        <w:rPr>
          <w:lang w:val="es-CR"/>
        </w:rPr>
        <w:t>Los tres servicios se despliegan de manera independiente sin romper contratos vigentes.</w:t>
      </w:r>
    </w:p>
    <w:p>
      <w:pPr>
        <w:pStyle w:val="ListBullet"/>
        <w:spacing w:after="60"/>
      </w:pPr>
      <w:r>
        <w:rPr>
          <w:lang w:val="es-CR"/>
        </w:rPr>
        <w:t>El BFF presenta una factura con su estado fiscal y saldo sin introducir dependencia circular en Billing.</w:t>
      </w:r>
    </w:p>
    <w:p>
      <w:pPr>
        <w:pStyle w:val="ListBullet"/>
        <w:spacing w:after="60"/>
      </w:pPr>
      <w:r>
        <w:rPr>
          <w:lang w:val="es-CR"/>
        </w:rPr>
        <w:t>Los documentos rechazados por Hacienda tienen un flujo operativo visible y recuperable.</w:t>
      </w:r>
    </w:p>
    <w:p>
      <w:pPr>
        <w:pStyle w:val="Heading1"/>
        <w:keepNext/>
      </w:pPr>
      <w:r>
        <w:rPr>
          <w:lang w:val="es-CR"/>
        </w:rPr>
        <w:t>Conclusión</w:t>
      </w:r>
    </w:p>
    <w:p>
      <w:pPr/>
      <w:r>
        <w:rPr>
          <w:lang w:val="es-CR"/>
        </w:rPr>
        <w:t>La propuesta equilibra autonomía de equipo, simplicidad operativa y seguridad multiempresa: tres APIs, una base PostgreSQL y schemas claramente gobernados. El éxito no depende de separar físicamente cada dato desde V1, sino de aplicar ownership, permisos, contratos, idempotencia, aislamiento tenant y auditoría verificable. Con estas reglas, la plataforma puede servir a PYMEs desde el inicio y conservar una ruta razonable hacia clientes enterprise y servicios independientes.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 xml:space="preserve">Arquitectura SaaS B2B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317" w:right="173"/>
    </w:pPr>
    <w:rPr>
      <w:rFonts w:ascii="Consolas" w:hAnsi="Consolas"/>
      <w:color w:val="232D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SaaS B2B de facturación electrónica</dc:title>
  <dc:subject>Decisiones arquitectónicas para Billing E Invoice y Receivables</dc:subject>
  <dc:creator>Dabrin Nájera y equipo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