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133.858267716535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Respecto a los documentos en el repositorio, todos tienen derechos de administrador, osea, permiso de lectura, escritura y creación de nuevos documentos. Se tiene como política la total confianza en todos los integrantes del equipo.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proyecto se ejecuta en iteraciones incrementales con una demostración del producto al finalizar cada iteración: con esta política, se conocerá el estado del proyecto, evaluando si los requisitos cumplen con las expectativas del cliente, si la calidad es la esperada, o si hay retrasos; agilizando la toma de decisiones correctivas.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Los requisitos se desarrollan priorizándolos por el valor aportado del cliente: Esta política permitirá que los objetivos más importantes del proyecto sean atendidos.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control y seguimiento del proyecto se basa en los requisitos completados en cada iteración. Se entiende como un requisito, los entregables asociados a: análisis, desarrollo, pruebas, documentación, etc. e integrados con los entregables de las iteraciones anteriores.Cada iteración deberá producir software con calidad de producción, probado, integrado, y documentado (funcional, técnica).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iteración deberá cumplir con un subconjunto de requerimientos.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documentación del proyecto, específicamente:  manual de usuario, manual de operaciones, arquitectura de la solución, especificaciones, etc; deberán ser entregables parciales para cada una de las iteraciones, es decir, la documentación no se liberara al final del proyecto, sino en entregables parciales.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3.858267716535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uno de los artefactos del proyecto, debe ser mantenido bajo un sistema de control de versiones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