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2D50"/>
          <w:sz w:val="80"/>
        </w:rPr>
        <w:t>CloneForge</w:t>
      </w:r>
    </w:p>
    <w:p>
      <w:pPr>
        <w:spacing w:after="80"/>
        <w:jc w:val="center"/>
      </w:pPr>
      <w:r>
        <w:rPr>
          <w:color w:val="2E6F95"/>
          <w:sz w:val="32"/>
        </w:rPr>
        <w:t>Plataforma de Clonación y Gestión de Objetos SQL Server</w:t>
      </w:r>
    </w:p>
    <w:p>
      <w:pPr>
        <w:spacing w:after="800"/>
        <w:jc w:val="center"/>
      </w:pPr>
      <w:r>
        <w:rPr>
          <w:i/>
          <w:color w:val="555555"/>
          <w:sz w:val="26"/>
        </w:rPr>
        <w:t>Informe Gerencial: Potencial y Alcance del Proyecto</w:t>
      </w:r>
    </w:p>
    <w:p>
      <w:pPr>
        <w:jc w:val="center"/>
      </w:pPr>
      <w:r>
        <w:rPr>
          <w:color w:val="555555"/>
          <w:sz w:val="22"/>
        </w:rPr>
        <w:t>Julio 2026</w:t>
      </w:r>
    </w:p>
    <w:p>
      <w:r>
        <w:br w:type="page"/>
      </w:r>
    </w:p>
    <w:p>
      <w:pPr>
        <w:spacing w:before="360" w:after="160"/>
        <w:pBdr>
          <w:bottom w:val="single" w:sz="8" w:space="4" w:color="2E6F95"/>
        </w:pBdr>
      </w:pPr>
      <w:r>
        <w:rPr>
          <w:b/>
          <w:color w:val="1F2D50"/>
          <w:sz w:val="40"/>
        </w:rPr>
        <w:t>1. Resumen Ejecutivo</w:t>
      </w:r>
    </w:p>
    <w:p>
      <w:pPr>
        <w:spacing w:after="160"/>
      </w:pPr>
      <w:r>
        <w:rPr>
          <w:b w:val="0"/>
          <w:i w:val="0"/>
          <w:sz w:val="22"/>
        </w:rPr>
        <w:t>CloneForge es una aplicación web interna diseñada para automatizar y simplificar la migración, clonación y sincronización de objetos entre instancias de bases de datos SQL Server. Reemplaza procesos manuales propensos a error -como la generación manual de scripts DDL o el traspaso de datos fila por fila- por un flujo de trabajo guiado, visual y auditable, ejecutable directamente desde el navegador.</w:t>
      </w:r>
    </w:p>
    <w:p>
      <w:pPr>
        <w:spacing w:after="160"/>
      </w:pPr>
      <w:r>
        <w:rPr>
          <w:b w:val="0"/>
          <w:i w:val="0"/>
          <w:sz w:val="22"/>
        </w:rPr>
        <w:t>El proyecto nació para resolver una necesidad operativa concreta (mover procedimientos, vistas, tablas, funciones y triggers entre entornos) y ha evolucionado, a lo largo de más de 25 iteraciones de desarrollo, hacia una herramienta con capacidades de exportación de scripts, transferencia de datos, reemplazo de texto en definiciones y despliegue empaquetado sobre IIS, evidenciando una base de código madura y en crecimiento activo.</w:t>
      </w:r>
    </w:p>
    <w:p>
      <w:pPr>
        <w:spacing w:before="360" w:after="160"/>
        <w:pBdr>
          <w:bottom w:val="single" w:sz="8" w:space="4" w:color="2E6F95"/>
        </w:pBdr>
      </w:pPr>
      <w:r>
        <w:rPr>
          <w:b/>
          <w:color w:val="1F2D50"/>
          <w:sz w:val="40"/>
        </w:rPr>
        <w:t>2. Objetivo y Problema que Resuelve</w:t>
      </w:r>
    </w:p>
    <w:p>
      <w:pPr>
        <w:spacing w:after="160"/>
      </w:pPr>
      <w:r>
        <w:rPr>
          <w:b w:val="0"/>
          <w:i w:val="0"/>
          <w:sz w:val="22"/>
        </w:rPr>
        <w:t>Los equipos de datos y desarrollo suelen necesitar replicar estructuras y datos entre bases de datos (por ejemplo, de producción a pruebas, o entre ambientes de distintos clientes). Hacerlo a mano implica riesgo de errores de sintaxis, pérdida de dependencias, scripts desactualizados y falta de trazabilidad sobre qué se movió y con qué resultado.</w:t>
      </w:r>
    </w:p>
    <w:p>
      <w:pPr>
        <w:spacing w:after="160"/>
      </w:pPr>
      <w:r>
        <w:rPr>
          <w:b w:val="0"/>
          <w:i w:val="0"/>
          <w:sz w:val="22"/>
        </w:rPr>
        <w:t>CloneForge centraliza ese proceso ofreciendo:</w:t>
      </w:r>
    </w:p>
    <w:p>
      <w:pPr>
        <w:pStyle w:val="ListBullet"/>
        <w:spacing w:after="80"/>
      </w:pPr>
      <w:r>
        <w:t>Conexión simultánea y controlada a una base de datos origen y una destino.</w:t>
      </w:r>
    </w:p>
    <w:p>
      <w:pPr>
        <w:pStyle w:val="ListBullet"/>
        <w:spacing w:after="80"/>
      </w:pPr>
      <w:r>
        <w:t>Detección automática de todos los objetos disponibles en el origen, con filtros por tipo, esquema y búsqueda libre.</w:t>
      </w:r>
    </w:p>
    <w:p>
      <w:pPr>
        <w:pStyle w:val="ListBullet"/>
        <w:spacing w:after="80"/>
      </w:pPr>
      <w:r>
        <w:t>Selección masiva o individual de los objetos a clonar, con vista previa del script antes de ejecutarlo.</w:t>
      </w:r>
    </w:p>
    <w:p>
      <w:pPr>
        <w:pStyle w:val="ListBullet"/>
        <w:spacing w:after="80"/>
      </w:pPr>
      <w:r>
        <w:t>Ejecución controlada con reporte de resultados por objeto (éxito, ya existente, error con detalle).</w:t>
      </w:r>
    </w:p>
    <w:p>
      <w:pPr>
        <w:spacing w:before="360" w:after="160"/>
        <w:pBdr>
          <w:bottom w:val="single" w:sz="8" w:space="4" w:color="2E6F95"/>
        </w:pBdr>
      </w:pPr>
      <w:r>
        <w:rPr>
          <w:b/>
          <w:color w:val="1F2D50"/>
          <w:sz w:val="40"/>
        </w:rPr>
        <w:t>3. Alcance Funcional Actual</w:t>
      </w:r>
    </w:p>
    <w:p>
      <w:pPr>
        <w:spacing w:before="360" w:after="160"/>
      </w:pPr>
      <w:r>
        <w:rPr>
          <w:b/>
          <w:color w:val="2E6F95"/>
          <w:sz w:val="30"/>
        </w:rPr>
        <w:t>3.1 Clonación de objetos de base de datos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2E6F95"/>
          </w:tcPr>
          <w:p>
            <w:r>
              <w:rPr>
                <w:b/>
                <w:color w:val="FFFFFF"/>
              </w:rPr>
              <w:t>Tipo de objeto</w:t>
            </w:r>
          </w:p>
        </w:tc>
        <w:tc>
          <w:tcPr>
            <w:tcW w:type="dxa" w:w="3249"/>
            <w:shd w:val="clear" w:color="auto" w:fill="2E6F95"/>
          </w:tcPr>
          <w:p>
            <w:r>
              <w:rPr>
                <w:b/>
                <w:color w:val="FFFFFF"/>
              </w:rPr>
              <w:t>Descripción</w:t>
            </w:r>
          </w:p>
        </w:tc>
        <w:tc>
          <w:tcPr>
            <w:tcW w:type="dxa" w:w="3249"/>
            <w:shd w:val="clear" w:color="auto" w:fill="2E6F95"/>
          </w:tcPr>
          <w:p>
            <w:r>
              <w:rPr>
                <w:b/>
                <w:color w:val="FFFFFF"/>
              </w:rPr>
              <w:t>Estrategia de clonación</w:t>
            </w:r>
          </w:p>
        </w:tc>
      </w:tr>
      <w:tr>
        <w:tc>
          <w:tcPr>
            <w:tcW w:type="dxa" w:w="3249"/>
          </w:tcPr>
          <w:p>
            <w:pPr>
              <w:spacing w:after="40"/>
            </w:pPr>
            <w:r>
              <w:rPr>
                <w:sz w:val="20"/>
              </w:rPr>
              <w:t>Procedimientos almacenados (SP)</w:t>
            </w:r>
          </w:p>
        </w:tc>
        <w:tc>
          <w:tcPr>
            <w:tcW w:type="dxa" w:w="3249"/>
          </w:tcPr>
          <w:p>
            <w:pPr>
              <w:spacing w:after="40"/>
            </w:pPr>
            <w:r>
              <w:rPr>
                <w:sz w:val="20"/>
              </w:rPr>
              <w:t>Lógica de negocio encapsulada en la base de datos</w:t>
            </w:r>
          </w:p>
        </w:tc>
        <w:tc>
          <w:tcPr>
            <w:tcW w:type="dxa" w:w="3249"/>
          </w:tcPr>
          <w:p>
            <w:pPr>
              <w:spacing w:after="40"/>
            </w:pPr>
            <w:r>
              <w:rPr>
                <w:sz w:val="20"/>
              </w:rPr>
              <w:t>CREATE OR ALTER PROCEDURE</w:t>
            </w:r>
          </w:p>
        </w:tc>
      </w:tr>
      <w:tr>
        <w:tc>
          <w:tcPr>
            <w:tcW w:type="dxa" w:w="3249"/>
          </w:tcPr>
          <w:p>
            <w:pPr>
              <w:spacing w:after="40"/>
            </w:pPr>
            <w:r>
              <w:rPr>
                <w:sz w:val="20"/>
              </w:rPr>
              <w:t>Vistas</w:t>
            </w:r>
          </w:p>
        </w:tc>
        <w:tc>
          <w:tcPr>
            <w:tcW w:type="dxa" w:w="3249"/>
          </w:tcPr>
          <w:p>
            <w:pPr>
              <w:spacing w:after="40"/>
            </w:pPr>
            <w:r>
              <w:rPr>
                <w:sz w:val="20"/>
              </w:rPr>
              <w:t>Consultas guardadas reutilizables</w:t>
            </w:r>
          </w:p>
        </w:tc>
        <w:tc>
          <w:tcPr>
            <w:tcW w:type="dxa" w:w="3249"/>
          </w:tcPr>
          <w:p>
            <w:pPr>
              <w:spacing w:after="40"/>
            </w:pPr>
            <w:r>
              <w:rPr>
                <w:sz w:val="20"/>
              </w:rPr>
              <w:t>DROP + CREATE VIEW</w:t>
            </w:r>
          </w:p>
        </w:tc>
      </w:tr>
      <w:tr>
        <w:tc>
          <w:tcPr>
            <w:tcW w:type="dxa" w:w="3249"/>
          </w:tcPr>
          <w:p>
            <w:pPr>
              <w:spacing w:after="40"/>
            </w:pPr>
            <w:r>
              <w:rPr>
                <w:sz w:val="20"/>
              </w:rPr>
              <w:t>Tablas</w:t>
            </w:r>
          </w:p>
        </w:tc>
        <w:tc>
          <w:tcPr>
            <w:tcW w:type="dxa" w:w="3249"/>
          </w:tcPr>
          <w:p>
            <w:pPr>
              <w:spacing w:after="40"/>
            </w:pPr>
            <w:r>
              <w:rPr>
                <w:sz w:val="20"/>
              </w:rPr>
              <w:t>Estructuras de datos de usuario, incluyendo índices, llaves foráneas y valores por defecto</w:t>
            </w:r>
          </w:p>
        </w:tc>
        <w:tc>
          <w:tcPr>
            <w:tcW w:type="dxa" w:w="3249"/>
          </w:tcPr>
          <w:p>
            <w:pPr>
              <w:spacing w:after="40"/>
            </w:pPr>
            <w:r>
              <w:rPr>
                <w:sz w:val="20"/>
              </w:rPr>
              <w:t>Reconstrucción desde metadatos del sistema (sys.columns)</w:t>
            </w:r>
          </w:p>
        </w:tc>
      </w:tr>
      <w:tr>
        <w:tc>
          <w:tcPr>
            <w:tcW w:type="dxa" w:w="3249"/>
          </w:tcPr>
          <w:p>
            <w:pPr>
              <w:spacing w:after="40"/>
            </w:pPr>
            <w:r>
              <w:rPr>
                <w:sz w:val="20"/>
              </w:rPr>
              <w:t>Funciones</w:t>
            </w:r>
          </w:p>
        </w:tc>
        <w:tc>
          <w:tcPr>
            <w:tcW w:type="dxa" w:w="3249"/>
          </w:tcPr>
          <w:p>
            <w:pPr>
              <w:spacing w:after="40"/>
            </w:pPr>
            <w:r>
              <w:rPr>
                <w:sz w:val="20"/>
              </w:rPr>
              <w:t>Escalares, en línea (inline) y de tabla</w:t>
            </w:r>
          </w:p>
        </w:tc>
        <w:tc>
          <w:tcPr>
            <w:tcW w:type="dxa" w:w="3249"/>
          </w:tcPr>
          <w:p>
            <w:pPr>
              <w:spacing w:after="40"/>
            </w:pPr>
            <w:r>
              <w:rPr>
                <w:sz w:val="20"/>
              </w:rPr>
              <w:t>CREATE OR ALTER FUNCTION</w:t>
            </w:r>
          </w:p>
        </w:tc>
      </w:tr>
      <w:tr>
        <w:tc>
          <w:tcPr>
            <w:tcW w:type="dxa" w:w="3249"/>
          </w:tcPr>
          <w:p>
            <w:pPr>
              <w:spacing w:after="40"/>
            </w:pPr>
            <w:r>
              <w:rPr>
                <w:sz w:val="20"/>
              </w:rPr>
              <w:t>Triggers</w:t>
            </w:r>
          </w:p>
        </w:tc>
        <w:tc>
          <w:tcPr>
            <w:tcW w:type="dxa" w:w="3249"/>
          </w:tcPr>
          <w:p>
            <w:pPr>
              <w:spacing w:after="40"/>
            </w:pPr>
            <w:r>
              <w:rPr>
                <w:sz w:val="20"/>
              </w:rPr>
              <w:t>Disparadores automáticos sobre eventos de tabla</w:t>
            </w:r>
          </w:p>
        </w:tc>
        <w:tc>
          <w:tcPr>
            <w:tcW w:type="dxa" w:w="3249"/>
          </w:tcPr>
          <w:p>
            <w:pPr>
              <w:spacing w:after="40"/>
            </w:pPr>
            <w:r>
              <w:rPr>
                <w:sz w:val="20"/>
              </w:rPr>
              <w:t>DROP + CREATE TRIGGER</w:t>
            </w:r>
          </w:p>
        </w:tc>
      </w:tr>
    </w:tbl>
    <w:p>
      <w:pPr>
        <w:spacing w:after="80"/>
      </w:pPr>
    </w:p>
    <w:p>
      <w:pPr>
        <w:spacing w:before="360" w:after="160"/>
      </w:pPr>
      <w:r>
        <w:rPr>
          <w:b/>
          <w:color w:val="2E6F95"/>
          <w:sz w:val="30"/>
        </w:rPr>
        <w:t>3.2 Capacidades complementarias</w:t>
      </w:r>
    </w:p>
    <w:p>
      <w:pPr>
        <w:pStyle w:val="ListBullet"/>
        <w:spacing w:after="80"/>
      </w:pPr>
      <w:r>
        <w:t>Exportación de scripts SQL sin ejecución, permitiendo auditar o entregar el DDL generado sin tocar la base destino.</w:t>
      </w:r>
    </w:p>
    <w:p>
      <w:pPr>
        <w:pStyle w:val="ListBullet"/>
        <w:spacing w:after="80"/>
      </w:pPr>
      <w:r>
        <w:t>Transferencia e inserción de datos: selección de filas específicas desde el origen y generación de sentencias INSERT hacia el destino, con vista previa antes de aplicar.</w:t>
      </w:r>
    </w:p>
    <w:p>
      <w:pPr>
        <w:pStyle w:val="ListBullet"/>
        <w:spacing w:after="80"/>
      </w:pPr>
      <w:r>
        <w:t>Reemplazos de texto (find &amp; replace) sobre los scripts antes de clonarlos, útil para adaptar nombres de esquema, entorno o convenciones entre instancias.</w:t>
      </w:r>
    </w:p>
    <w:p>
      <w:pPr>
        <w:pStyle w:val="ListBullet"/>
        <w:spacing w:after="80"/>
      </w:pPr>
      <w:r>
        <w:t>Opción de reemplazar si el objeto ya existe, evitando fallos por duplicados y clasificando resultados en éxito / ya existe / error.</w:t>
      </w:r>
    </w:p>
    <w:p>
      <w:pPr>
        <w:pStyle w:val="ListBullet"/>
        <w:spacing w:after="80"/>
      </w:pPr>
      <w:r>
        <w:t>Persistencia de credenciales de conexión en el navegador para agilizar sesiones recurrentes.</w:t>
      </w:r>
    </w:p>
    <w:p>
      <w:pPr>
        <w:pStyle w:val="ListBullet"/>
        <w:spacing w:after="80"/>
      </w:pPr>
      <w:r>
        <w:t>Empaquetado y guía de despliegue sobre IIS con gestor de procesos PM2, orientado a instalación en servidores corporativos Windows.</w:t>
      </w:r>
    </w:p>
    <w:p>
      <w:pPr>
        <w:spacing w:before="360" w:after="160"/>
        <w:pBdr>
          <w:bottom w:val="single" w:sz="8" w:space="4" w:color="2E6F95"/>
        </w:pBdr>
      </w:pPr>
      <w:r>
        <w:rPr>
          <w:b/>
          <w:color w:val="1F2D50"/>
          <w:sz w:val="40"/>
        </w:rPr>
        <w:t>4. Arquitectura Técnica</w:t>
      </w:r>
    </w:p>
    <w:p>
      <w:pPr>
        <w:spacing w:after="160"/>
      </w:pPr>
      <w:r>
        <w:rPr>
          <w:b w:val="0"/>
          <w:i w:val="0"/>
          <w:sz w:val="22"/>
        </w:rPr>
        <w:t>El proyecto sigue una arquitectura desacoplada de frontend y backend, un estándar de la industria que facilita mantenimiento, escalabilidad y eventual despliegue distribuido.</w:t>
      </w:r>
    </w:p>
    <w:p>
      <w:pPr>
        <w:pStyle w:val="ListBullet"/>
        <w:spacing w:after="80"/>
      </w:pPr>
      <w:r>
        <w:rPr>
          <w:b/>
          <w:color w:val="2E6F95"/>
        </w:rPr>
        <w:t xml:space="preserve">Backend: </w:t>
      </w:r>
      <w:r>
        <w:t xml:space="preserve">Backend: </w:t>
      </w:r>
    </w:p>
    <w:p>
      <w:pPr>
        <w:spacing w:after="80"/>
      </w:pPr>
      <w:r>
        <w:rPr>
          <w:b w:val="0"/>
          <w:i w:val="0"/>
          <w:sz w:val="22"/>
        </w:rPr>
        <w:t>Node.js con Express, conectividad a SQL Server mediante el driver oficial "mssql", validación de datos con Joi y manejo centralizado de errores asíncronos.</w:t>
      </w:r>
    </w:p>
    <w:p>
      <w:pPr>
        <w:pStyle w:val="ListBullet"/>
        <w:spacing w:after="80"/>
      </w:pPr>
      <w:r>
        <w:rPr>
          <w:b/>
          <w:color w:val="2E6F95"/>
        </w:rPr>
        <w:t xml:space="preserve">Frontend: </w:t>
      </w:r>
      <w:r>
        <w:t xml:space="preserve">Frontend: </w:t>
      </w:r>
    </w:p>
    <w:p>
      <w:pPr>
        <w:spacing w:after="80"/>
      </w:pPr>
      <w:r>
        <w:rPr>
          <w:b w:val="0"/>
          <w:i w:val="0"/>
          <w:sz w:val="22"/>
        </w:rPr>
        <w:t>React sobre Vite, grillas de datos de nivel empresarial con AG Grid, estado global con Zustand y componentes de interfaz accesibles vía Radix UI y Tailwind CSS.</w:t>
      </w:r>
    </w:p>
    <w:p>
      <w:pPr>
        <w:spacing w:after="160"/>
      </w:pPr>
      <w:r>
        <w:rPr>
          <w:b w:val="0"/>
          <w:i w:val="0"/>
          <w:sz w:val="22"/>
        </w:rPr>
        <w:t>Esta elección tecnológica prioriza herramientas de código abierto, ampliamente adoptadas y con soporte activo de la comunidad, lo que reduce el riesgo de dependencia de proveedor (vendor lock-in) y facilita la incorporación de nuevos desarrolladores al proyecto.</w:t>
      </w:r>
    </w:p>
    <w:p>
      <w:pPr>
        <w:spacing w:before="360" w:after="160"/>
        <w:pBdr>
          <w:bottom w:val="single" w:sz="8" w:space="4" w:color="2E6F95"/>
        </w:pBdr>
      </w:pPr>
      <w:r>
        <w:rPr>
          <w:b/>
          <w:color w:val="1F2D50"/>
          <w:sz w:val="40"/>
        </w:rPr>
        <w:t>5. Beneficios y Valor para el Negocio</w:t>
      </w:r>
    </w:p>
    <w:p>
      <w:pPr>
        <w:pStyle w:val="ListBullet"/>
        <w:spacing w:after="80"/>
      </w:pPr>
      <w:r>
        <w:rPr>
          <w:b/>
          <w:color w:val="2E6F95"/>
        </w:rPr>
        <w:t xml:space="preserve">Reducción de tiempo operativo: </w:t>
      </w:r>
      <w:r>
        <w:t xml:space="preserve">Reducción de tiempo operativo: </w:t>
      </w:r>
    </w:p>
    <w:p>
      <w:pPr>
        <w:spacing w:after="80"/>
      </w:pPr>
      <w:r>
        <w:rPr>
          <w:b w:val="0"/>
          <w:i w:val="0"/>
          <w:sz w:val="22"/>
        </w:rPr>
        <w:t>tareas que antes tomaban horas de scripting manual se completan en minutos mediante selección y clic.</w:t>
      </w:r>
    </w:p>
    <w:p>
      <w:pPr>
        <w:pStyle w:val="ListBullet"/>
        <w:spacing w:after="80"/>
      </w:pPr>
      <w:r>
        <w:rPr>
          <w:b/>
          <w:color w:val="2E6F95"/>
        </w:rPr>
        <w:t xml:space="preserve">Menor riesgo de error humano: </w:t>
      </w:r>
      <w:r>
        <w:t xml:space="preserve">Menor riesgo de error humano: </w:t>
      </w:r>
    </w:p>
    <w:p>
      <w:pPr>
        <w:spacing w:after="80"/>
      </w:pPr>
      <w:r>
        <w:rPr>
          <w:b w:val="0"/>
          <w:i w:val="0"/>
          <w:sz w:val="22"/>
        </w:rPr>
        <w:t>la generación automática de DDL a partir de metadatos evita errores de sintaxis o de referencias faltantes.</w:t>
      </w:r>
    </w:p>
    <w:p>
      <w:pPr>
        <w:pStyle w:val="ListBullet"/>
        <w:spacing w:after="80"/>
      </w:pPr>
      <w:r>
        <w:rPr>
          <w:b/>
          <w:color w:val="2E6F95"/>
        </w:rPr>
        <w:t xml:space="preserve">Trazabilidad: </w:t>
      </w:r>
      <w:r>
        <w:t xml:space="preserve">Trazabilidad: </w:t>
      </w:r>
    </w:p>
    <w:p>
      <w:pPr>
        <w:spacing w:after="80"/>
      </w:pPr>
      <w:r>
        <w:rPr>
          <w:b w:val="0"/>
          <w:i w:val="0"/>
          <w:sz w:val="22"/>
        </w:rPr>
        <w:t>cada operación reporta explícitamente qué objetos se clonaron con éxito, cuáles ya existían y cuáles fallaron, con el detalle del error.</w:t>
      </w:r>
    </w:p>
    <w:p>
      <w:pPr>
        <w:pStyle w:val="ListBullet"/>
        <w:spacing w:after="80"/>
      </w:pPr>
      <w:r>
        <w:rPr>
          <w:b/>
          <w:color w:val="2E6F95"/>
        </w:rPr>
        <w:t xml:space="preserve">Autonomía de los equipos técnicos: </w:t>
      </w:r>
      <w:r>
        <w:t xml:space="preserve">Autonomía de los equipos técnicos: </w:t>
      </w:r>
    </w:p>
    <w:p>
      <w:pPr>
        <w:spacing w:after="80"/>
      </w:pPr>
      <w:r>
        <w:rPr>
          <w:b w:val="0"/>
          <w:i w:val="0"/>
          <w:sz w:val="22"/>
        </w:rPr>
        <w:t>no depende de un administrador de base de datos para tareas rutinarias de sincronización entre entornos.</w:t>
      </w:r>
    </w:p>
    <w:p>
      <w:pPr>
        <w:pStyle w:val="ListBullet"/>
        <w:spacing w:after="80"/>
      </w:pPr>
      <w:r>
        <w:rPr>
          <w:b/>
          <w:color w:val="2E6F95"/>
        </w:rPr>
        <w:t xml:space="preserve">Flexibilidad de entrega: </w:t>
      </w:r>
      <w:r>
        <w:t xml:space="preserve">Flexibilidad de entrega: </w:t>
      </w:r>
    </w:p>
    <w:p>
      <w:pPr>
        <w:spacing w:after="80"/>
      </w:pPr>
      <w:r>
        <w:rPr>
          <w:b w:val="0"/>
          <w:i w:val="0"/>
          <w:sz w:val="22"/>
        </w:rPr>
        <w:t>la opción de exportar scripts sin ejecutarlos habilita procesos de revisión y aprobación antes de aplicar cambios en producción.</w:t>
      </w:r>
    </w:p>
    <w:p>
      <w:pPr>
        <w:spacing w:before="360" w:after="160"/>
        <w:pBdr>
          <w:bottom w:val="single" w:sz="8" w:space="4" w:color="2E6F95"/>
        </w:pBdr>
      </w:pPr>
      <w:r>
        <w:rPr>
          <w:b/>
          <w:color w:val="1F2D50"/>
          <w:sz w:val="40"/>
        </w:rPr>
        <w:t>6. Potencial de Crecimiento y Próximos Pasos</w:t>
      </w:r>
    </w:p>
    <w:p>
      <w:pPr>
        <w:spacing w:after="160"/>
      </w:pPr>
      <w:r>
        <w:rPr>
          <w:b w:val="0"/>
          <w:i w:val="0"/>
          <w:sz w:val="22"/>
        </w:rPr>
        <w:t>La base actual del proyecto habilita, sin necesidad de rediseño, varias líneas de evolución que aumentarían su valor estratégico:</w:t>
      </w:r>
    </w:p>
    <w:p>
      <w:pPr>
        <w:pStyle w:val="ListBullet"/>
        <w:spacing w:after="80"/>
      </w:pPr>
      <w:r>
        <w:rPr>
          <w:b/>
          <w:color w:val="2E6F95"/>
        </w:rPr>
        <w:t xml:space="preserve">Soporte a nuevos objetos: </w:t>
      </w:r>
      <w:r>
        <w:t xml:space="preserve">Soporte a nuevos objetos: </w:t>
      </w:r>
    </w:p>
    <w:p>
      <w:pPr>
        <w:spacing w:after="80"/>
      </w:pPr>
      <w:r>
        <w:rPr>
          <w:b w:val="0"/>
          <w:i w:val="0"/>
          <w:sz w:val="22"/>
        </w:rPr>
        <w:t>extensión a índices independientes, esquemas completos, tipos definidos por el usuario o roles/permisos.</w:t>
      </w:r>
    </w:p>
    <w:p>
      <w:pPr>
        <w:pStyle w:val="ListBullet"/>
        <w:spacing w:after="80"/>
      </w:pPr>
      <w:r>
        <w:rPr>
          <w:b/>
          <w:color w:val="2E6F95"/>
        </w:rPr>
        <w:t xml:space="preserve">Programación y automatización: </w:t>
      </w:r>
      <w:r>
        <w:t xml:space="preserve">Programación y automatización: </w:t>
      </w:r>
    </w:p>
    <w:p>
      <w:pPr>
        <w:spacing w:after="80"/>
      </w:pPr>
      <w:r>
        <w:rPr>
          <w:b w:val="0"/>
          <w:i w:val="0"/>
          <w:sz w:val="22"/>
        </w:rPr>
        <w:t>ejecución de clonaciones en horarios definidos o disparadas por integración continua (CI/CD), útil para mantener ambientes de prueba sincronizados automáticamente.</w:t>
      </w:r>
    </w:p>
    <w:p>
      <w:pPr>
        <w:pStyle w:val="ListBullet"/>
        <w:spacing w:after="80"/>
      </w:pPr>
      <w:r>
        <w:rPr>
          <w:b/>
          <w:color w:val="2E6F95"/>
        </w:rPr>
        <w:t xml:space="preserve">Auditoría e historial: </w:t>
      </w:r>
      <w:r>
        <w:t xml:space="preserve">Auditoría e historial: </w:t>
      </w:r>
    </w:p>
    <w:p>
      <w:pPr>
        <w:spacing w:after="80"/>
      </w:pPr>
      <w:r>
        <w:rPr>
          <w:b w:val="0"/>
          <w:i w:val="0"/>
          <w:sz w:val="22"/>
        </w:rPr>
        <w:t>registro persistente de quién clonó qué objeto, cuándo y con qué resultado, con fines de cumplimiento normativo.</w:t>
      </w:r>
    </w:p>
    <w:p>
      <w:pPr>
        <w:pStyle w:val="ListBullet"/>
        <w:spacing w:after="80"/>
      </w:pPr>
      <w:r>
        <w:rPr>
          <w:b/>
          <w:color w:val="2E6F95"/>
        </w:rPr>
        <w:t xml:space="preserve">Soporte multi-motor: </w:t>
      </w:r>
      <w:r>
        <w:t xml:space="preserve">Soporte multi-motor: </w:t>
      </w:r>
    </w:p>
    <w:p>
      <w:pPr>
        <w:spacing w:after="80"/>
      </w:pPr>
      <w:r>
        <w:rPr>
          <w:b w:val="0"/>
          <w:i w:val="0"/>
          <w:sz w:val="22"/>
        </w:rPr>
        <w:t>extensión de la arquitectura de servicios para soportar PostgreSQL, MySQL u otros motores, ampliando el mercado interno de uso.</w:t>
      </w:r>
    </w:p>
    <w:p>
      <w:pPr>
        <w:pStyle w:val="ListBullet"/>
        <w:spacing w:after="80"/>
      </w:pPr>
      <w:r>
        <w:rPr>
          <w:b/>
          <w:color w:val="2E6F95"/>
        </w:rPr>
        <w:t xml:space="preserve">Control de acceso y perfiles: </w:t>
      </w:r>
      <w:r>
        <w:t xml:space="preserve">Control de acceso y perfiles: </w:t>
      </w:r>
    </w:p>
    <w:p>
      <w:pPr>
        <w:spacing w:after="80"/>
      </w:pPr>
      <w:r>
        <w:rPr>
          <w:b w:val="0"/>
          <w:i w:val="0"/>
          <w:sz w:val="22"/>
        </w:rPr>
        <w:t>autenticación de usuarios y permisos diferenciados (quién puede clonar hacia entornos productivos).</w:t>
      </w:r>
    </w:p>
    <w:p>
      <w:pPr>
        <w:pStyle w:val="ListBullet"/>
        <w:spacing w:after="80"/>
      </w:pPr>
      <w:r>
        <w:rPr>
          <w:b/>
          <w:color w:val="2E6F95"/>
        </w:rPr>
        <w:t xml:space="preserve">Comparación de esquemas: </w:t>
      </w:r>
      <w:r>
        <w:t xml:space="preserve">Comparación de esquemas: </w:t>
      </w:r>
    </w:p>
    <w:p>
      <w:pPr>
        <w:spacing w:after="80"/>
      </w:pPr>
      <w:r>
        <w:rPr>
          <w:b w:val="0"/>
          <w:i w:val="0"/>
          <w:sz w:val="22"/>
        </w:rPr>
        <w:t>detección de diferencias entre origen y destino antes de clonar, anticipando conflictos.</w:t>
      </w:r>
    </w:p>
    <w:p>
      <w:pPr>
        <w:spacing w:before="360" w:after="160"/>
        <w:pBdr>
          <w:bottom w:val="single" w:sz="8" w:space="4" w:color="2E6F95"/>
        </w:pBdr>
      </w:pPr>
      <w:r>
        <w:rPr>
          <w:b/>
          <w:color w:val="1F2D50"/>
          <w:sz w:val="40"/>
        </w:rPr>
        <w:t>7. Estado Actual y Madurez del Proyecto</w:t>
      </w:r>
    </w:p>
    <w:p>
      <w:pPr>
        <w:spacing w:after="160"/>
      </w:pPr>
      <w:r>
        <w:rPr>
          <w:b w:val="0"/>
          <w:i w:val="0"/>
          <w:sz w:val="22"/>
        </w:rPr>
        <w:t>El historial de desarrollo muestra una cadencia constante de mejoras funcionales y correcciones desde la primera implementación, incluyendo endurecimiento de casos límite (por ejemplo, sintaxis correcta de ALTER VIEW, manejo de tipos de datos especiales en tablas, selección de filas visibles tras filtrar) y expansión de alcance (de la clonación de objetos a la transferencia de datos y exportación de scripts). Esto indica un proyecto en uso activo, con retroalimentación real incorporada al producto, y no un prototipo estático.</w:t>
      </w:r>
    </w:p>
    <w:p>
      <w:pPr>
        <w:spacing w:after="160"/>
      </w:pPr>
      <w:r>
        <w:rPr>
          <w:b w:val="0"/>
          <w:i w:val="0"/>
          <w:sz w:val="22"/>
        </w:rPr>
        <w:t>Ya cuenta, además, con scripts de despliegue e instalación para entornos corporativos Windows/IIS, lo que reduce la fricción de puesta en producción y facilita su adopción por más equipos dentro de la organización.</w:t>
      </w:r>
    </w:p>
    <w:p>
      <w:pPr>
        <w:spacing w:before="360" w:after="160"/>
        <w:pBdr>
          <w:bottom w:val="single" w:sz="8" w:space="4" w:color="2E6F95"/>
        </w:pBdr>
      </w:pPr>
      <w:r>
        <w:rPr>
          <w:b/>
          <w:color w:val="1F2D50"/>
          <w:sz w:val="40"/>
        </w:rPr>
        <w:t>8. Conclusión</w:t>
      </w:r>
    </w:p>
    <w:p>
      <w:pPr>
        <w:spacing w:after="160"/>
      </w:pPr>
      <w:r>
        <w:rPr>
          <w:b w:val="0"/>
          <w:i w:val="0"/>
          <w:sz w:val="22"/>
        </w:rPr>
        <w:t>CloneForge ha pasado de ser una utilidad puntual a una plataforma con capacidades crecientes para la gestión de objetos y datos de SQL Server. Su arquitectura desacoplada y basada en tecnologías estándar de mercado permite escalar tanto en funcionalidad (nuevos tipos de objetos, motores de base de datos, automatización) como en alcance organizacional (más equipos, control de accesos, auditoría), posicionándolo como una herramienta interna con potencial de convertirse en un componente estándar del ciclo de vida de gestión de bases de datos de la organización.</w:t>
      </w:r>
    </w:p>
    <w:p/>
    <w:p>
      <w:pPr>
        <w:jc w:val="center"/>
      </w:pPr>
      <w:r>
        <w:rPr>
          <w:i/>
          <w:color w:val="555555"/>
          <w:sz w:val="18"/>
        </w:rPr>
        <w:t>Documento generado a partir del estado actual del repositorio del proyecto CloneForge.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