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3328670</wp:posOffset>
            </wp:positionH>
            <wp:positionV relativeFrom="page">
              <wp:posOffset>180340</wp:posOffset>
            </wp:positionV>
            <wp:extent cx="1082039" cy="795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2039" cy="795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2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02, DE 14 DE DEZEMBRO DE 2011 </w:t>
      </w:r>
    </w:p>
    <w:p>
      <w:pPr>
        <w:autoSpaceDN w:val="0"/>
        <w:autoSpaceDE w:val="0"/>
        <w:widowControl/>
        <w:spacing w:line="292" w:lineRule="exact" w:before="304" w:after="0"/>
        <w:ind w:left="4536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Taxas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a serem aplicadas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Corumbataí no exercício de 2012.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GERAL DA AGÊNCIA REGULADORA DOS SERVIÇOS DE SANEAMENTO DAS BACIAS </w:t>
      </w:r>
      <w:r>
        <w:rPr>
          <w:rFonts w:ascii="Calibri" w:hAnsi="Calibri" w:eastAsia="Calibri"/>
          <w:b/>
          <w:i w:val="0"/>
          <w:color w:val="000000"/>
          <w:sz w:val="24"/>
        </w:rPr>
        <w:t>DOS RIOS PIRACICABA, CAPIVARI E JUNDIAÍ –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conferem a Cláusula 32ª, incisos I e IV e a Cláusula 34ª, incisos I e II, do Protocolo de Intenções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 e o art. 30, incisos I e II do Estatuto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as premissas constantes na Lei Federal nº 11.445, de 05/01/2007, no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7.217, de 21/06/2010 e na Lei Municipal nº 1.416, de 20/09/2010,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Corumbataí ratifica o Protocolo de Intenções, delegando o exercício das atividades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dos serviços públicos de saneamento básico à ARES-PCJ; </w:t>
      </w:r>
    </w:p>
    <w:p>
      <w:pPr>
        <w:autoSpaceDN w:val="0"/>
        <w:autoSpaceDE w:val="0"/>
        <w:widowControl/>
        <w:spacing w:line="294" w:lineRule="exact" w:before="29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a solicitação do Município de Corumbataí, visando reajuste dos valores da Taxa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instituída pela Lei Municipal nº 1.177, de 01/04/2004, para o exercício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2012; e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a análise e aprovação do Parecer Técnico nº 01/2011 da ARES-PCJ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membros do Conselho de Regulação e Controle Social do Município de Corumbataí. </w:t>
      </w:r>
    </w:p>
    <w:p>
      <w:pPr>
        <w:autoSpaceDN w:val="0"/>
        <w:autoSpaceDE w:val="0"/>
        <w:widowControl/>
        <w:spacing w:line="240" w:lineRule="exact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Autorizar a Prefeitura Municipal de Corumbataí promover o reajuste da Taxa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a partir do exercício de 2012.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O valor da Taxa de Água e Esgoto será corrigido em 6,18% (seis vírgula dezoito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baseado na variação da inflação anual, medida entre os meses de novembro de 2010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novembro de 2011, através do INPC/IBGE.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novos valores da Taxa de Água e Esgoto a serem praticadas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Corumbataí são apresentados no Anexo 1.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valores constantes do Anexo 1 desta Resolução serão aplicáveis a partir de 1º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janeiro de 2012. </w:t>
      </w:r>
    </w:p>
    <w:p>
      <w:pPr>
        <w:autoSpaceDN w:val="0"/>
        <w:autoSpaceDE w:val="0"/>
        <w:widowControl/>
        <w:spacing w:line="240" w:lineRule="exact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Deliberação entrará em vigor na data da sua publicação. </w:t>
      </w:r>
    </w:p>
    <w:p>
      <w:pPr>
        <w:autoSpaceDN w:val="0"/>
        <w:autoSpaceDE w:val="0"/>
        <w:widowControl/>
        <w:spacing w:line="294" w:lineRule="exact" w:before="58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216" w:val="left"/>
        </w:tabs>
        <w:autoSpaceDE w:val="0"/>
        <w:widowControl/>
        <w:spacing w:line="202" w:lineRule="exact" w:before="5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02/2011 – 14/12/2011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4" w:h="16838"/>
          <w:pgMar w:top="142" w:right="1058" w:bottom="42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8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3328670</wp:posOffset>
            </wp:positionH>
            <wp:positionV relativeFrom="page">
              <wp:posOffset>180340</wp:posOffset>
            </wp:positionV>
            <wp:extent cx="1082039" cy="79501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2039" cy="795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218" w:after="0"/>
        <w:ind w:left="0" w:right="4120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1 </w:t>
      </w:r>
    </w:p>
    <w:p>
      <w:pPr>
        <w:autoSpaceDN w:val="0"/>
        <w:autoSpaceDE w:val="0"/>
        <w:widowControl/>
        <w:spacing w:line="240" w:lineRule="exact" w:before="356" w:after="4"/>
        <w:ind w:left="22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DA TAXA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66"/>
        <w:gridCol w:w="3166"/>
        <w:gridCol w:w="3166"/>
      </w:tblGrid>
      <w:tr>
        <w:trPr>
          <w:trHeight w:hRule="exact" w:val="586"/>
        </w:trPr>
        <w:tc>
          <w:tcPr>
            <w:tcW w:type="dxa" w:w="38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Metro Cúbico (m</w:t>
            </w:r>
            <w:r>
              <w:rPr>
                <w:w w:val="98.99194240570068"/>
                <w:rFonts w:ascii="Calibri" w:hAnsi="Calibri" w:eastAsia="Calibri"/>
                <w:b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2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UFMC’s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*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R$ / m</w:t>
            </w:r>
            <w:r>
              <w:rPr>
                <w:w w:val="98.99194240570068"/>
                <w:rFonts w:ascii="Calibri" w:hAnsi="Calibri" w:eastAsia="Calibri"/>
                <w:b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614"/>
        </w:trPr>
        <w:tc>
          <w:tcPr>
            <w:tcW w:type="dxa" w:w="38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00 a 10 </w:t>
            </w:r>
          </w:p>
        </w:tc>
        <w:tc>
          <w:tcPr>
            <w:tcW w:type="dxa" w:w="2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9,37</w:t>
            </w:r>
          </w:p>
        </w:tc>
      </w:tr>
      <w:tr>
        <w:trPr>
          <w:trHeight w:hRule="exact" w:val="586"/>
        </w:trPr>
        <w:tc>
          <w:tcPr>
            <w:tcW w:type="dxa" w:w="38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2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0,43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0,9374</w:t>
            </w:r>
          </w:p>
        </w:tc>
      </w:tr>
      <w:tr>
        <w:trPr>
          <w:trHeight w:hRule="exact" w:val="614"/>
        </w:trPr>
        <w:tc>
          <w:tcPr>
            <w:tcW w:type="dxa" w:w="38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2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0,53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1,1554</w:t>
            </w:r>
          </w:p>
        </w:tc>
      </w:tr>
      <w:tr>
        <w:trPr>
          <w:trHeight w:hRule="exact" w:val="588"/>
        </w:trPr>
        <w:tc>
          <w:tcPr>
            <w:tcW w:type="dxa" w:w="38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2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0,80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1,7440</w:t>
            </w:r>
          </w:p>
        </w:tc>
      </w:tr>
      <w:tr>
        <w:trPr>
          <w:trHeight w:hRule="exact" w:val="616"/>
        </w:trPr>
        <w:tc>
          <w:tcPr>
            <w:tcW w:type="dxa" w:w="388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2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2,1800</w:t>
            </w:r>
          </w:p>
        </w:tc>
      </w:tr>
      <w:tr>
        <w:trPr>
          <w:trHeight w:hRule="exact" w:val="584"/>
        </w:trPr>
        <w:tc>
          <w:tcPr>
            <w:tcW w:type="dxa" w:w="388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297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1,20 </w:t>
            </w:r>
          </w:p>
        </w:tc>
        <w:tc>
          <w:tcPr>
            <w:tcW w:type="dxa" w:w="20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2,6160</w:t>
            </w:r>
          </w:p>
        </w:tc>
      </w:tr>
      <w:tr>
        <w:trPr>
          <w:trHeight w:hRule="exact" w:val="616"/>
        </w:trPr>
        <w:tc>
          <w:tcPr>
            <w:tcW w:type="dxa" w:w="388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100 </w:t>
            </w:r>
          </w:p>
        </w:tc>
        <w:tc>
          <w:tcPr>
            <w:tcW w:type="dxa" w:w="2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3,2700</w:t>
            </w:r>
          </w:p>
        </w:tc>
      </w:tr>
      <w:tr>
        <w:trPr>
          <w:trHeight w:hRule="exact" w:val="618"/>
        </w:trPr>
        <w:tc>
          <w:tcPr>
            <w:tcW w:type="dxa" w:w="388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297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20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3,7060</w:t>
            </w:r>
          </w:p>
        </w:tc>
      </w:tr>
    </w:tbl>
    <w:p>
      <w:pPr>
        <w:autoSpaceDN w:val="0"/>
        <w:autoSpaceDE w:val="0"/>
        <w:widowControl/>
        <w:spacing w:line="240" w:lineRule="exact" w:before="52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(*) UFMC’s - Unidades Fiscais do Município de Corumbataí </w:t>
      </w:r>
    </w:p>
    <w:p>
      <w:pPr>
        <w:autoSpaceDN w:val="0"/>
        <w:tabs>
          <w:tab w:pos="9332" w:val="left"/>
        </w:tabs>
        <w:autoSpaceDE w:val="0"/>
        <w:widowControl/>
        <w:spacing w:line="202" w:lineRule="exact" w:before="7426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02/2011 – 14/12/2011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4" w:h="16838"/>
      <w:pgMar w:top="142" w:right="1106" w:bottom="428" w:left="13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