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3345179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25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110, DE 16 DE NOVEMBRO DE 2015 </w:t>
      </w:r>
    </w:p>
    <w:p>
      <w:pPr>
        <w:autoSpaceDN w:val="0"/>
        <w:autoSpaceDE w:val="0"/>
        <w:widowControl/>
        <w:spacing w:line="245" w:lineRule="auto" w:before="642" w:after="28"/>
        <w:ind w:left="5664" w:right="10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alíquota, metodologia de apuração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forma de repasse do valor da Taxa de Regulação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Fiscalização referente ao Exercício de 2016, cobrada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pela ARES-PCJ, junto aos prestadores de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abastecimento de água e esgotamento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2.0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sanitário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municípios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consorciados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18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197" w:lineRule="auto" w:before="26" w:after="0"/>
        <w:ind w:left="0" w:right="242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conveniados,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incisos I, II e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29, incisos I, II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III, do Estatuto Social 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conforme o inciso XV, da Cláusula 20ª,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compete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Assembleia Geral deliberar sobre a fixação, revisão e reajuste dos valores das taxas e tarifas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outros preços públicos, referentes aos  serviços prestados pela Agência Reguladora PCJ;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Cláusula 68ª do Protocolo de Intenções da ARES-PCJ trata do fato gerador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que tem, como sujeitos passivos, 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saneamento básico, no âmbito dos Municípios consorciados; </w:t>
      </w:r>
    </w:p>
    <w:p>
      <w:pPr>
        <w:autoSpaceDN w:val="0"/>
        <w:autoSpaceDE w:val="0"/>
        <w:widowControl/>
        <w:spacing w:line="245" w:lineRule="auto" w:before="346" w:after="0"/>
        <w:ind w:left="141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§ 2º, da Cláusula 69ª, do Protocolo de Intenções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prevê que a alíquota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Taxa de Regulação e Fiscalização poderá ser revista, observados critérios técnicos pela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PCJ; </w:t>
      </w:r>
    </w:p>
    <w:p>
      <w:pPr>
        <w:autoSpaceDN w:val="0"/>
        <w:autoSpaceDE w:val="0"/>
        <w:widowControl/>
        <w:spacing w:line="245" w:lineRule="auto" w:before="346" w:after="0"/>
        <w:ind w:left="1410" w:right="10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§ 4º do Art. 58, do Estatuto Social da ARES-PCJ, define que a alíquota, a metodologia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apuração e forma de repasse do valor referente à Taxa de Regulação e Fiscalização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em Resolução específica da ARES-PCJ; </w:t>
      </w:r>
    </w:p>
    <w:p>
      <w:pPr>
        <w:autoSpaceDN w:val="0"/>
        <w:autoSpaceDE w:val="0"/>
        <w:widowControl/>
        <w:spacing w:line="245" w:lineRule="auto" w:before="346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9ª Assembleia Geral Ordinária da ARES-PCJ, em função da aprovação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orçamento para o Exercício de 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mantida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alíquota da Taxa de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cobrada dos prestadores dos serviços públicos de abastecimento de água potável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no âmbito dos municípios consorciados e conveniados; </w:t>
      </w:r>
    </w:p>
    <w:p>
      <w:pPr>
        <w:autoSpaceDN w:val="0"/>
        <w:tabs>
          <w:tab w:pos="10626" w:val="left"/>
        </w:tabs>
        <w:autoSpaceDE w:val="0"/>
        <w:widowControl/>
        <w:spacing w:line="197" w:lineRule="auto" w:before="798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110 – 16/11/2014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9987280</wp:posOffset>
            </wp:positionV>
            <wp:extent cx="7560310" cy="69087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0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2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3345179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alíquota da Taxa de Regulação e Fiscalização 2016 permanece em 0,30% (trinta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tendo como base os valores das receitas financeiras dos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 apurados no Exercício de 2015; </w:t>
      </w:r>
    </w:p>
    <w:p>
      <w:pPr>
        <w:autoSpaceDN w:val="0"/>
        <w:autoSpaceDE w:val="0"/>
        <w:widowControl/>
        <w:spacing w:line="245" w:lineRule="auto" w:before="346" w:after="0"/>
        <w:ind w:left="1410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área de atuação da ARES-PCJ há prestadores de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utilizam a contabilidade pública (prefeituras e autarquias municipais), outros que utilizam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comercial (empresas privadas e de economia mista); </w:t>
      </w:r>
    </w:p>
    <w:p>
      <w:pPr>
        <w:autoSpaceDN w:val="0"/>
        <w:autoSpaceDE w:val="0"/>
        <w:widowControl/>
        <w:spacing w:line="245" w:lineRule="auto" w:before="348" w:after="0"/>
        <w:ind w:left="141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na área de atuação da ARES-PCJ há municípios com convênio de cooperação e prestadores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públicos de saneamento básico que que possuem contratos de concessão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artigos e cláusulas específicas sobre a alíquota da Taxa de Regulação e Fiscalização; </w:t>
      </w:r>
    </w:p>
    <w:p>
      <w:pPr>
        <w:autoSpaceDN w:val="0"/>
        <w:autoSpaceDE w:val="0"/>
        <w:widowControl/>
        <w:spacing w:line="245" w:lineRule="auto" w:before="344" w:after="0"/>
        <w:ind w:left="1410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 fim de definir a alíquota, metodologia de cálculo e forma de repasse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para o Exercício 2016, a Diretoria Executiva da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reunida em 16 de novembro de 2015, </w:t>
      </w:r>
    </w:p>
    <w:p>
      <w:pPr>
        <w:autoSpaceDN w:val="0"/>
        <w:autoSpaceDE w:val="0"/>
        <w:widowControl/>
        <w:spacing w:line="197" w:lineRule="auto" w:before="638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a alíquota da Taxa de Regulação e Fiscalização – Exercício de 2016 em 0,30%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Definir metodologia de cálculo do valor da Taxa de Regulação e Fiscalização,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jurídica do prestador de serviços públicos de saneamento básico, no âmbito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consorciados e conveniados para o Exercício de 2016, tendo como base nas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ao Exercício de 2015. </w:t>
      </w:r>
    </w:p>
    <w:p>
      <w:pPr>
        <w:autoSpaceDN w:val="0"/>
        <w:autoSpaceDE w:val="0"/>
        <w:widowControl/>
        <w:spacing w:line="245" w:lineRule="auto" w:before="346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Pública, de Regime Contábil de Caixa, terá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base o total das Receitas Correntes de 2015, subtraindo o total das Receitas Patrimoniais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2015, e será calculado 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(RC - RP)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rPr>
          <w:rFonts w:ascii="Calibri" w:hAnsi="Calibri" w:eastAsia="Calibri"/>
          <w:b/>
          <w:i/>
          <w:color w:val="000000"/>
          <w:sz w:val="24"/>
        </w:rPr>
        <w:t>TR = Taxa de Regulação,</w:t>
      </w:r>
      <w:r>
        <w:rPr>
          <w:rFonts w:ascii="Calibri" w:hAnsi="Calibri" w:eastAsia="Calibri"/>
          <w:b/>
          <w:i/>
          <w:color w:val="000000"/>
          <w:sz w:val="24"/>
        </w:rPr>
        <w:t>RC = Receita Corrente de 2015;</w:t>
      </w:r>
      <w:r>
        <w:rPr>
          <w:rFonts w:ascii="Calibri" w:hAnsi="Calibri" w:eastAsia="Calibri"/>
          <w:b/>
          <w:i/>
          <w:color w:val="000000"/>
          <w:sz w:val="24"/>
        </w:rPr>
        <w:t xml:space="preserve">RP = Receita Patrimonial de </w:t>
      </w:r>
      <w:r>
        <w:rPr>
          <w:rFonts w:ascii="Calibri" w:hAnsi="Calibri" w:eastAsia="Calibri"/>
          <w:b/>
          <w:i/>
          <w:color w:val="000000"/>
          <w:sz w:val="24"/>
        </w:rPr>
        <w:t xml:space="preserve">2015; e 0,003 = Alíquota para 2016. </w:t>
      </w:r>
    </w:p>
    <w:p>
      <w:pPr>
        <w:autoSpaceDN w:val="0"/>
        <w:autoSpaceDE w:val="0"/>
        <w:widowControl/>
        <w:spacing w:line="245" w:lineRule="auto" w:before="346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O valor da Taxa de Regulação e Fiscalização, para 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que utilizam a Contabilidade Comercial, de Regime Contábil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Competência, terá como base o total da Receita Operacional Líquida de 2015 e será calculado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da seguinte expressão matemática: </w:t>
      </w:r>
      <w:r>
        <w:rPr>
          <w:rFonts w:ascii="Calibri" w:hAnsi="Calibri" w:eastAsia="Calibri"/>
          <w:b/>
          <w:i w:val="0"/>
          <w:color w:val="000000"/>
          <w:sz w:val="24"/>
        </w:rPr>
        <w:t>TR = ROL x 0,003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onde: </w:t>
      </w:r>
      <w:r>
        <w:rPr>
          <w:rFonts w:ascii="Calibri" w:hAnsi="Calibri" w:eastAsia="Calibri"/>
          <w:b/>
          <w:i/>
          <w:color w:val="000000"/>
          <w:sz w:val="24"/>
        </w:rPr>
        <w:t xml:space="preserve">TR = Taxa de Regulação, </w:t>
      </w:r>
      <w:r>
        <w:rPr>
          <w:rFonts w:ascii="Calibri" w:hAnsi="Calibri" w:eastAsia="Calibri"/>
          <w:b/>
          <w:i/>
          <w:color w:val="000000"/>
          <w:sz w:val="24"/>
        </w:rPr>
        <w:t xml:space="preserve">ROL = Receita Operacional Líquida de 2015 e 0,003 = Alíquota para 2016. </w:t>
      </w:r>
    </w:p>
    <w:p>
      <w:pPr>
        <w:autoSpaceDN w:val="0"/>
        <w:autoSpaceDE w:val="0"/>
        <w:widowControl/>
        <w:spacing w:line="245" w:lineRule="auto" w:before="346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O valor total apurado da Taxa de Regulação e Fiscalização será dividido em 10 (dez)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parcelas iguais a serem repassadas à ARES-PCJ todo dia 10 (dez) de cada mês,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vencimento da primeira parcela em fevereiro de 2016. Caso essa data coincidir com sábado, </w:t>
      </w:r>
    </w:p>
    <w:p>
      <w:pPr>
        <w:autoSpaceDN w:val="0"/>
        <w:tabs>
          <w:tab w:pos="10626" w:val="left"/>
        </w:tabs>
        <w:autoSpaceDE w:val="0"/>
        <w:widowControl/>
        <w:spacing w:line="197" w:lineRule="auto" w:before="260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110 – 16/11/2014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9987280</wp:posOffset>
            </wp:positionV>
            <wp:extent cx="7560310" cy="69087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08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2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3345179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domingo ou feriado, o vencimento ficará prorrogado automaticamente para o primeiro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subsequente. </w:t>
      </w:r>
    </w:p>
    <w:p>
      <w:pPr>
        <w:autoSpaceDN w:val="0"/>
        <w:autoSpaceDE w:val="0"/>
        <w:widowControl/>
        <w:spacing w:line="245" w:lineRule="auto" w:before="344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Em havendo município conveniado com Termo de Convênio de Cooperação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ou Contrato de Concessão para a prestação dos serviços de saneamento que defina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 a alíquota da Taxa de Regulação e Fiscalização, esta prevalecerá e não serão aplicadas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metodologias de cálculo e alíquotas previstas nos parágrafos 1º e 2º do art. 1º desta Resolução. </w:t>
      </w:r>
    </w:p>
    <w:p>
      <w:pPr>
        <w:autoSpaceDN w:val="0"/>
        <w:autoSpaceDE w:val="0"/>
        <w:widowControl/>
        <w:spacing w:line="245" w:lineRule="auto" w:before="348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Os repasses referentes à Taxa de Regulação e Fiscalização - 2016 serão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de depósitos bancários em favor da ARES-PCJ. </w:t>
      </w:r>
    </w:p>
    <w:p>
      <w:pPr>
        <w:autoSpaceDN w:val="0"/>
        <w:autoSpaceDE w:val="0"/>
        <w:widowControl/>
        <w:spacing w:line="245" w:lineRule="auto" w:before="346" w:after="0"/>
        <w:ind w:left="141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ARES-PCJ poderá emitir boletos bancários referentes à cobrança da Taxa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- 2016. </w:t>
      </w:r>
    </w:p>
    <w:p>
      <w:pPr>
        <w:autoSpaceDN w:val="0"/>
        <w:autoSpaceDE w:val="0"/>
        <w:widowControl/>
        <w:spacing w:line="245" w:lineRule="auto" w:before="346" w:after="0"/>
        <w:ind w:left="1410" w:right="10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comprovação do valor correspondente à Taxa de Regulação e Fiscalização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os prestadores de serviços públicos de saneamento básico deverão encaminhar,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seus respectivos balanços contábeis, tão logo estes sejam elaborados e publicados.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626" w:val="left"/>
        </w:tabs>
        <w:autoSpaceDE w:val="0"/>
        <w:widowControl/>
        <w:spacing w:line="197" w:lineRule="auto" w:before="582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110 – 16/11/2014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9987280</wp:posOffset>
            </wp:positionV>
            <wp:extent cx="7560310" cy="69087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69087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0" w:right="0" w:bottom="12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