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63, DE 27 DE AGOSTO DE 2014 </w:t>
      </w:r>
    </w:p>
    <w:p>
      <w:pPr>
        <w:autoSpaceDN w:val="0"/>
        <w:autoSpaceDE w:val="0"/>
        <w:widowControl/>
        <w:spacing w:line="245" w:lineRule="auto" w:before="348" w:after="0"/>
        <w:ind w:left="4254" w:right="8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ordinária do Contrato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Concessão dos Serviços Públicos de Água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Esgoto do Município de Limeira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 GERAL DA ARES-PCJ - AGÊNCIA REGULADORA DOS SERVIÇOS DE SANEAMENTO </w:t>
      </w:r>
      <w:r>
        <w:rPr>
          <w:rFonts w:ascii="Calibri" w:hAnsi="Calibri" w:eastAsia="Calibri"/>
          <w:b/>
          <w:i w:val="0"/>
          <w:color w:val="000000"/>
          <w:sz w:val="24"/>
        </w:rPr>
        <w:t>DAS BACIAS DOS RIOS PIRACICABA, CAPIVARI E JUNDIAÍ (AGÊNCIA 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das atribuições que lhe conferem a  Cláusula 32ª, incisos I e IV e a Cláusula 34ª, incisos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II, do Protocolo de Intenções da ARES-PCJ convertido em Contrato de Consórcio Público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30, incisos I e II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5.157, de 26/08/2013,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Limeira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o exercício das atividades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dos serviços de saneamento básico à Agência Reguladora PCJ. </w:t>
      </w:r>
    </w:p>
    <w:p>
      <w:pPr>
        <w:autoSpaceDN w:val="0"/>
        <w:autoSpaceDE w:val="0"/>
        <w:widowControl/>
        <w:spacing w:line="245" w:lineRule="auto" w:before="346" w:after="0"/>
        <w:ind w:left="0" w:right="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07/1994, o Município de Limeira estabeleceu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dos serviços de abastecimento de água e esgotamento sanitário para 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Odebrecht Ambiental - Limeira S/A. </w:t>
      </w:r>
    </w:p>
    <w:p>
      <w:pPr>
        <w:autoSpaceDN w:val="0"/>
        <w:autoSpaceDE w:val="0"/>
        <w:widowControl/>
        <w:spacing w:line="245" w:lineRule="auto" w:before="344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empresa concessionária Odebrecht Ambiental - Limeira S/A, através da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ordinária do Contrato de Concessão dos Serviços Públicos de Água e Esgoto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Limeira, encaminhou pleito de reequilíbrio contratual, solicitando reajuste de 6,89% (seis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vírgula oitenta e nove por cento), sobre as atuais tarifas de água e esgoto, em função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investimentos ao sistema de tratamento dos esgotos de Limeira. </w:t>
      </w:r>
    </w:p>
    <w:p>
      <w:pPr>
        <w:autoSpaceDN w:val="0"/>
        <w:autoSpaceDE w:val="0"/>
        <w:widowControl/>
        <w:spacing w:line="245" w:lineRule="auto" w:before="348" w:after="0"/>
        <w:ind w:left="0" w:right="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estabeleceu procedimentos para a realização da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ordinária do Contrato de Concessão dos Serviços Públicos de Água e Esgoto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Limeira, através da Resolução ARES-PCJ nº 53, de 08/05/2014, e definiu, para a fase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debates, a realização de Consulta e Audiência Pública, para fins de apresentação e discussão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pleito da empresa.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de seu Parecer Consolidado nº 16/2014, concluiu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possível reajustar Tarifa Referencial de Água (TRA) e Tarifa Referencial de Esgoto (TRE),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6,38% (seis vírgula trinta e oito por cento), sem prejuízo dos investimentos previstos,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serem realizados no período de 2014 a 2039.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Limeira, reunido no dia 12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agosto de 2014, após a Audiência Pública nº 02/ 2014, analisou e aprovou o conteúdo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63 – 27/08/2014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sectPr>
          <w:pgSz w:w="11906" w:h="16841"/>
          <w:pgMar w:top="1020" w:right="1276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da ARES-PCJ, inclusive o índice de reajuste das tarifas referenciais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para o equilíbrio econômico-financeiro do contrato.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revisão ordinária do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dos Serviços Públicos de Água e Esgoto do Município de Limeira,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Agência Reguladora PCJ, reunida em 25 de agosto de 2014.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4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valores da Tarifa Referencial de Água (TRA) e da Tarifa Referencial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(TRE), praticadas pela empresa concessionária Odebrecht Ambiental - Limeira S/A,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6,38% (seis vírgula trinta e oito por cento), passando dos atuais R$ 2,66 (dois reais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sessenta e seis centavos), para R$ 2,83 (dois reais e oitenta e três centavos).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será aplicado nas Contas/Faturas com vencimentos a partir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 1º de janeiro de 2015, em todas as 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Fixar, em função do reajuste da Tarifa Referencial de Água (TRA) e da 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Referencial de Esgoto (TRE), os novos valores para as Tarifas de Água e Esgoto,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consumo, conforme Tabela 1,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Fixar, em função do reajuste da Tarifa Referencial de Água (TRA) e da 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Referencial de Esgoto (TRE), os novos valores de Prestação de Serviços, conforme Tabela 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Fixar, em função do reajuste da Tarifa Referencial de Esgoto (TRE),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Parcela Relativa ao Grau Poluente do Efluente, conforme Tabela 3,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junto aos seus usuários e consumidores, 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Odebrecht Ambiental - Limeira S/A, afixará tabela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nesta Resolução em local de fácil acesso, em seu sítio na Internet e,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mensagens em suas Contas/Faturas, informará o percentual do reajuste tarifário fixado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 (ARES-PCJ) e a data de início da vigência desses novos valores. </w:t>
      </w:r>
    </w:p>
    <w:p>
      <w:pPr>
        <w:autoSpaceDN w:val="0"/>
        <w:autoSpaceDE w:val="0"/>
        <w:widowControl/>
        <w:spacing w:line="245" w:lineRule="auto" w:before="348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nesta Resolução, somente poderão ser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empresa concessionária Odebrecht Ambiental - Limeira S/A, após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do Município de Limeira, conforme determina o Art. 39,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11.445/2007.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638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63 – 27/08/2014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sectPr>
          <w:pgSz w:w="11906" w:h="16841"/>
          <w:pgMar w:top="1018" w:right="1276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autoSpaceDE w:val="0"/>
        <w:widowControl/>
        <w:spacing w:line="377" w:lineRule="auto" w:before="0" w:after="298"/>
        <w:ind w:left="864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63, DE 27 DE AGOSTO DE 2014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TARIFAS DE ÁGUA E ESGOTO DE LIMEIRA - JANEIRO DE 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43"/>
        <w:gridCol w:w="1843"/>
        <w:gridCol w:w="1843"/>
        <w:gridCol w:w="1843"/>
        <w:gridCol w:w="1843"/>
      </w:tblGrid>
      <w:tr>
        <w:trPr>
          <w:trHeight w:hRule="exact" w:val="466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POPULAR (SOCIAL) </w:t>
            </w:r>
          </w:p>
        </w:tc>
      </w:tr>
      <w:tr>
        <w:trPr>
          <w:trHeight w:hRule="exact" w:val="59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6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5,70 </w:t>
            </w:r>
          </w:p>
        </w:tc>
        <w:tc>
          <w:tcPr>
            <w:tcW w:type="dxa" w:w="19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5,70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11,40 </w:t>
            </w:r>
          </w:p>
        </w:tc>
      </w:tr>
      <w:tr>
        <w:trPr>
          <w:trHeight w:hRule="exact" w:val="30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0,57 </w:t>
            </w:r>
          </w:p>
        </w:tc>
        <w:tc>
          <w:tcPr>
            <w:tcW w:type="dxa" w:w="19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0,57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1,14 </w:t>
            </w:r>
          </w:p>
        </w:tc>
      </w:tr>
      <w:tr>
        <w:trPr>
          <w:trHeight w:hRule="exact" w:val="30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2,41 </w:t>
            </w:r>
          </w:p>
        </w:tc>
        <w:tc>
          <w:tcPr>
            <w:tcW w:type="dxa" w:w="198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2,41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4,82 </w:t>
            </w:r>
          </w:p>
        </w:tc>
      </w:tr>
      <w:tr>
        <w:trPr>
          <w:trHeight w:hRule="exact" w:val="302"/>
        </w:trPr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4,25 </w:t>
            </w:r>
          </w:p>
        </w:tc>
        <w:tc>
          <w:tcPr>
            <w:tcW w:type="dxa" w:w="198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4,25 </w:t>
            </w:r>
          </w:p>
        </w:tc>
        <w:tc>
          <w:tcPr>
            <w:tcW w:type="dxa" w:w="198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8,50 </w:t>
            </w:r>
          </w:p>
        </w:tc>
      </w:tr>
      <w:tr>
        <w:trPr>
          <w:trHeight w:hRule="exact" w:val="304"/>
        </w:trPr>
        <w:tc>
          <w:tcPr>
            <w:tcW w:type="dxa" w:w="198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5,66 </w:t>
            </w:r>
          </w:p>
        </w:tc>
        <w:tc>
          <w:tcPr>
            <w:tcW w:type="dxa" w:w="198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5,66 </w:t>
            </w:r>
          </w:p>
        </w:tc>
        <w:tc>
          <w:tcPr>
            <w:tcW w:type="dxa" w:w="19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11,32 </w:t>
            </w:r>
          </w:p>
        </w:tc>
      </w:tr>
      <w:tr>
        <w:trPr>
          <w:trHeight w:hRule="exact" w:val="30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7,08 </w:t>
            </w:r>
          </w:p>
        </w:tc>
        <w:tc>
          <w:tcPr>
            <w:tcW w:type="dxa" w:w="19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7,08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14,16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43"/>
        <w:gridCol w:w="1843"/>
        <w:gridCol w:w="1843"/>
        <w:gridCol w:w="1843"/>
        <w:gridCol w:w="1843"/>
      </w:tblGrid>
      <w:tr>
        <w:trPr>
          <w:trHeight w:hRule="exact" w:val="466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4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25,40 </w:t>
            </w:r>
          </w:p>
        </w:tc>
      </w:tr>
      <w:tr>
        <w:trPr>
          <w:trHeight w:hRule="exact" w:val="306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1,75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1,75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3,50 </w:t>
            </w:r>
          </w:p>
        </w:tc>
      </w:tr>
      <w:tr>
        <w:trPr>
          <w:trHeight w:hRule="exact" w:val="304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3,48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6,96 </w:t>
            </w:r>
          </w:p>
        </w:tc>
      </w:tr>
      <w:tr>
        <w:trPr>
          <w:trHeight w:hRule="exact" w:val="30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4,53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9,06 </w:t>
            </w:r>
          </w:p>
        </w:tc>
      </w:tr>
      <w:tr>
        <w:trPr>
          <w:trHeight w:hRule="exact" w:val="306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5,66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5,66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11,32 </w:t>
            </w:r>
          </w:p>
        </w:tc>
      </w:tr>
      <w:tr>
        <w:trPr>
          <w:trHeight w:hRule="exact" w:val="30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7,08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14,16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43"/>
        <w:gridCol w:w="1843"/>
        <w:gridCol w:w="1843"/>
        <w:gridCol w:w="1843"/>
        <w:gridCol w:w="1843"/>
      </w:tblGrid>
      <w:tr>
        <w:trPr>
          <w:trHeight w:hRule="exact" w:val="464"/>
        </w:trPr>
        <w:tc>
          <w:tcPr>
            <w:tcW w:type="dxa" w:w="9072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28,30 </w:t>
            </w:r>
          </w:p>
        </w:tc>
        <w:tc>
          <w:tcPr>
            <w:tcW w:type="dxa" w:w="19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28,30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56,60 </w:t>
            </w:r>
          </w:p>
        </w:tc>
      </w:tr>
      <w:tr>
        <w:trPr>
          <w:trHeight w:hRule="exact" w:val="30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4,25 </w:t>
            </w:r>
          </w:p>
        </w:tc>
        <w:tc>
          <w:tcPr>
            <w:tcW w:type="dxa" w:w="198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4,25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8,50 </w:t>
            </w:r>
          </w:p>
        </w:tc>
      </w:tr>
      <w:tr>
        <w:trPr>
          <w:trHeight w:hRule="exact" w:val="304"/>
        </w:trPr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4,25 </w:t>
            </w:r>
          </w:p>
        </w:tc>
        <w:tc>
          <w:tcPr>
            <w:tcW w:type="dxa" w:w="198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4,25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8,50 </w:t>
            </w:r>
          </w:p>
        </w:tc>
      </w:tr>
      <w:tr>
        <w:trPr>
          <w:trHeight w:hRule="exact" w:val="30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7,08 </w:t>
            </w:r>
          </w:p>
        </w:tc>
        <w:tc>
          <w:tcPr>
            <w:tcW w:type="dxa" w:w="19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7,08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14,16 </w:t>
            </w:r>
          </w:p>
        </w:tc>
      </w:tr>
      <w:tr>
        <w:trPr>
          <w:trHeight w:hRule="exact" w:val="30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9,91 </w:t>
            </w:r>
          </w:p>
        </w:tc>
        <w:tc>
          <w:tcPr>
            <w:tcW w:type="dxa" w:w="19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9,91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19,82 </w:t>
            </w:r>
          </w:p>
        </w:tc>
      </w:tr>
      <w:tr>
        <w:trPr>
          <w:trHeight w:hRule="exact" w:val="30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12,74 </w:t>
            </w:r>
          </w:p>
        </w:tc>
        <w:tc>
          <w:tcPr>
            <w:tcW w:type="dxa" w:w="19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12,74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25,48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7" w:lineRule="auto" w:before="1916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63 – 27/08/2014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sectPr>
          <w:pgSz w:w="11906" w:h="16841"/>
          <w:pgMar w:top="1020" w:right="1276" w:bottom="568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autoSpaceDE w:val="0"/>
        <w:widowControl/>
        <w:spacing w:line="377" w:lineRule="auto" w:before="0" w:after="298"/>
        <w:ind w:left="144" w:right="28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63, DE 27 DE AGOSTO DE 2014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TARIFAS DE ÁGUA E ESGOTO DE LIMEIRA - JANEIRO DE 2015 (Continuação)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43"/>
        <w:gridCol w:w="1843"/>
        <w:gridCol w:w="1843"/>
        <w:gridCol w:w="1843"/>
        <w:gridCol w:w="1843"/>
      </w:tblGrid>
      <w:tr>
        <w:trPr>
          <w:trHeight w:hRule="exact" w:val="466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594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6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34,00 </w:t>
            </w:r>
          </w:p>
        </w:tc>
      </w:tr>
      <w:tr>
        <w:trPr>
          <w:trHeight w:hRule="exact" w:val="30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3,11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6,22 </w:t>
            </w:r>
          </w:p>
        </w:tc>
      </w:tr>
      <w:tr>
        <w:trPr>
          <w:trHeight w:hRule="exact" w:val="304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3,11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6,22 </w:t>
            </w:r>
          </w:p>
        </w:tc>
      </w:tr>
      <w:tr>
        <w:trPr>
          <w:trHeight w:hRule="exact" w:val="302"/>
        </w:trPr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4,53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4,53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9,06 </w:t>
            </w:r>
          </w:p>
        </w:tc>
      </w:tr>
      <w:tr>
        <w:trPr>
          <w:trHeight w:hRule="exact" w:val="304"/>
        </w:trPr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7,08 </w:t>
            </w:r>
          </w:p>
        </w:tc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7,08 </w:t>
            </w:r>
          </w:p>
        </w:tc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14,16 </w:t>
            </w:r>
          </w:p>
        </w:tc>
      </w:tr>
      <w:tr>
        <w:trPr>
          <w:trHeight w:hRule="exact" w:val="304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8,49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8,49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16,98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43"/>
        <w:gridCol w:w="1843"/>
        <w:gridCol w:w="1843"/>
        <w:gridCol w:w="1843"/>
        <w:gridCol w:w="1843"/>
      </w:tblGrid>
      <w:tr>
        <w:trPr>
          <w:trHeight w:hRule="exact" w:val="466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28,30 </w:t>
            </w:r>
          </w:p>
        </w:tc>
        <w:tc>
          <w:tcPr>
            <w:tcW w:type="dxa" w:w="19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28,30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56,60 </w:t>
            </w:r>
          </w:p>
        </w:tc>
      </w:tr>
      <w:tr>
        <w:trPr>
          <w:trHeight w:hRule="exact" w:val="306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2,83 </w:t>
            </w:r>
          </w:p>
        </w:tc>
        <w:tc>
          <w:tcPr>
            <w:tcW w:type="dxa" w:w="19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5,66 </w:t>
            </w:r>
          </w:p>
        </w:tc>
      </w:tr>
      <w:tr>
        <w:trPr>
          <w:trHeight w:hRule="exact" w:val="30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4,53 </w:t>
            </w:r>
          </w:p>
        </w:tc>
        <w:tc>
          <w:tcPr>
            <w:tcW w:type="dxa" w:w="19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9,06 </w:t>
            </w:r>
          </w:p>
        </w:tc>
      </w:tr>
      <w:tr>
        <w:trPr>
          <w:trHeight w:hRule="exact" w:val="30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7,36 </w:t>
            </w:r>
          </w:p>
        </w:tc>
        <w:tc>
          <w:tcPr>
            <w:tcW w:type="dxa" w:w="19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7,36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14,72 </w:t>
            </w:r>
          </w:p>
        </w:tc>
      </w:tr>
      <w:tr>
        <w:trPr>
          <w:trHeight w:hRule="exact" w:val="306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10,19 </w:t>
            </w:r>
          </w:p>
        </w:tc>
        <w:tc>
          <w:tcPr>
            <w:tcW w:type="dxa" w:w="19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10,19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20,38 </w:t>
            </w:r>
          </w:p>
        </w:tc>
      </w:tr>
      <w:tr>
        <w:trPr>
          <w:trHeight w:hRule="exact" w:val="30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13,02 </w:t>
            </w:r>
          </w:p>
        </w:tc>
        <w:tc>
          <w:tcPr>
            <w:tcW w:type="dxa" w:w="19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13,02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26,04 </w:t>
            </w:r>
          </w:p>
        </w:tc>
      </w:tr>
    </w:tbl>
    <w:p>
      <w:pPr>
        <w:autoSpaceDN w:val="0"/>
        <w:autoSpaceDE w:val="0"/>
        <w:widowControl/>
        <w:spacing w:line="197" w:lineRule="auto" w:before="31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Os Valores das Tarifas de Esgoto correspondem a 100% do valor das Tarifas de Água. </w:t>
      </w:r>
    </w:p>
    <w:p>
      <w:pPr>
        <w:autoSpaceDN w:val="0"/>
        <w:tabs>
          <w:tab w:pos="9078" w:val="left"/>
        </w:tabs>
        <w:autoSpaceDE w:val="0"/>
        <w:widowControl/>
        <w:spacing w:line="197" w:lineRule="auto" w:before="4834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63 – 27/08/2014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p>
      <w:pPr>
        <w:sectPr>
          <w:pgSz w:w="11906" w:h="16841"/>
          <w:pgMar w:top="1020" w:right="1276" w:bottom="568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autoSpaceDE w:val="0"/>
        <w:widowControl/>
        <w:spacing w:line="377" w:lineRule="auto" w:before="0" w:after="344"/>
        <w:ind w:left="1008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63, DE 27 DE AGOSTO DE 2014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DE PRESTAÇÃO DE SERVIÇOS – - JANEIRO DE 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468"/>
        </w:trPr>
        <w:tc>
          <w:tcPr>
            <w:tcW w:type="dxa" w:w="51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Nº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6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CÓD.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2"/>
        </w:trPr>
        <w:tc>
          <w:tcPr>
            <w:tcW w:type="dxa" w:w="51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Conserto de cavalete ¾” </w:t>
            </w:r>
          </w:p>
        </w:tc>
        <w:tc>
          <w:tcPr>
            <w:tcW w:type="dxa" w:w="6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1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18,93 x TRA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53,57 </w:t>
            </w:r>
          </w:p>
        </w:tc>
      </w:tr>
      <w:tr>
        <w:trPr>
          <w:trHeight w:hRule="exact" w:val="292"/>
        </w:trPr>
        <w:tc>
          <w:tcPr>
            <w:tcW w:type="dxa" w:w="51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02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hidrômetro de ¾" danificado </w:t>
            </w:r>
          </w:p>
        </w:tc>
        <w:tc>
          <w:tcPr>
            <w:tcW w:type="dxa" w:w="6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2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37,72 x TRA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106,75 </w:t>
            </w:r>
          </w:p>
        </w:tc>
      </w:tr>
      <w:tr>
        <w:trPr>
          <w:trHeight w:hRule="exact" w:val="292"/>
        </w:trPr>
        <w:tc>
          <w:tcPr>
            <w:tcW w:type="dxa" w:w="51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03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Conserto de ligação de água de ¾" danificada </w:t>
            </w:r>
          </w:p>
        </w:tc>
        <w:tc>
          <w:tcPr>
            <w:tcW w:type="dxa" w:w="6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3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44,48 x TRA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125,88 </w:t>
            </w:r>
          </w:p>
        </w:tc>
      </w:tr>
      <w:tr>
        <w:trPr>
          <w:trHeight w:hRule="exact" w:val="294"/>
        </w:trPr>
        <w:tc>
          <w:tcPr>
            <w:tcW w:type="dxa" w:w="51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04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Conserto de ligação de esgoto de 4"danificada </w:t>
            </w:r>
          </w:p>
        </w:tc>
        <w:tc>
          <w:tcPr>
            <w:tcW w:type="dxa" w:w="6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1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97,33 x TRE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275,44 </w:t>
            </w:r>
          </w:p>
        </w:tc>
      </w:tr>
      <w:tr>
        <w:trPr>
          <w:trHeight w:hRule="exact" w:val="294"/>
        </w:trPr>
        <w:tc>
          <w:tcPr>
            <w:tcW w:type="dxa" w:w="51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no cavalete </w:t>
            </w:r>
          </w:p>
        </w:tc>
        <w:tc>
          <w:tcPr>
            <w:tcW w:type="dxa" w:w="6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4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35,23 x TRA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99,70 </w:t>
            </w:r>
          </w:p>
        </w:tc>
      </w:tr>
      <w:tr>
        <w:trPr>
          <w:trHeight w:hRule="exact" w:val="292"/>
        </w:trPr>
        <w:tc>
          <w:tcPr>
            <w:tcW w:type="dxa" w:w="514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06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na ligação ou por outros meios </w:t>
            </w:r>
          </w:p>
        </w:tc>
        <w:tc>
          <w:tcPr>
            <w:tcW w:type="dxa" w:w="68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5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55,55 x TRA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157,21 </w:t>
            </w:r>
          </w:p>
        </w:tc>
      </w:tr>
      <w:tr>
        <w:trPr>
          <w:trHeight w:hRule="exact" w:val="294"/>
        </w:trPr>
        <w:tc>
          <w:tcPr>
            <w:tcW w:type="dxa" w:w="514"/>
            <w:tcBorders>
              <w:start w:sz="3.99999999999994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07 </w:t>
            </w:r>
          </w:p>
        </w:tc>
        <w:tc>
          <w:tcPr>
            <w:tcW w:type="dxa" w:w="5102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da ligação de água </w:t>
            </w:r>
          </w:p>
        </w:tc>
        <w:tc>
          <w:tcPr>
            <w:tcW w:type="dxa" w:w="68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6 </w:t>
            </w:r>
          </w:p>
        </w:tc>
        <w:tc>
          <w:tcPr>
            <w:tcW w:type="dxa" w:w="15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74,83 x TRA </w:t>
            </w:r>
          </w:p>
        </w:tc>
        <w:tc>
          <w:tcPr>
            <w:tcW w:type="dxa" w:w="15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211,77 </w:t>
            </w:r>
          </w:p>
        </w:tc>
      </w:tr>
      <w:tr>
        <w:trPr>
          <w:trHeight w:hRule="exact" w:val="290"/>
        </w:trPr>
        <w:tc>
          <w:tcPr>
            <w:tcW w:type="dxa" w:w="51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08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Domiciliar até duas economias </w:t>
            </w:r>
          </w:p>
        </w:tc>
        <w:tc>
          <w:tcPr>
            <w:tcW w:type="dxa" w:w="6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7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17,02 x TRA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48,17 </w:t>
            </w:r>
          </w:p>
        </w:tc>
      </w:tr>
      <w:tr>
        <w:trPr>
          <w:trHeight w:hRule="exact" w:val="296"/>
        </w:trPr>
        <w:tc>
          <w:tcPr>
            <w:tcW w:type="dxa" w:w="51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09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de ¾” sem pavimento </w:t>
            </w:r>
          </w:p>
        </w:tc>
        <w:tc>
          <w:tcPr>
            <w:tcW w:type="dxa" w:w="6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8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135,18 x TRA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382,56 </w:t>
            </w:r>
          </w:p>
        </w:tc>
      </w:tr>
      <w:tr>
        <w:trPr>
          <w:trHeight w:hRule="exact" w:val="544"/>
        </w:trPr>
        <w:tc>
          <w:tcPr>
            <w:tcW w:type="dxa" w:w="51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caixa na calçada quando de execução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de ¾” ou remanejamento </w:t>
            </w:r>
          </w:p>
        </w:tc>
        <w:tc>
          <w:tcPr>
            <w:tcW w:type="dxa" w:w="6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9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71,78 x TRA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203,14 </w:t>
            </w:r>
          </w:p>
        </w:tc>
      </w:tr>
      <w:tr>
        <w:trPr>
          <w:trHeight w:hRule="exact" w:val="296"/>
        </w:trPr>
        <w:tc>
          <w:tcPr>
            <w:tcW w:type="dxa" w:w="51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de 4" sem pavimento </w:t>
            </w:r>
          </w:p>
        </w:tc>
        <w:tc>
          <w:tcPr>
            <w:tcW w:type="dxa" w:w="6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2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167,74 x TRE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474,70 </w:t>
            </w:r>
          </w:p>
        </w:tc>
      </w:tr>
      <w:tr>
        <w:trPr>
          <w:trHeight w:hRule="exact" w:val="290"/>
        </w:trPr>
        <w:tc>
          <w:tcPr>
            <w:tcW w:type="dxa" w:w="51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Segunda via de conta </w:t>
            </w:r>
          </w:p>
        </w:tc>
        <w:tc>
          <w:tcPr>
            <w:tcW w:type="dxa" w:w="6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10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1,79 x TRA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5,07 </w:t>
            </w:r>
          </w:p>
        </w:tc>
      </w:tr>
      <w:tr>
        <w:trPr>
          <w:trHeight w:hRule="exact" w:val="294"/>
        </w:trPr>
        <w:tc>
          <w:tcPr>
            <w:tcW w:type="dxa" w:w="51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Declaração negativa de débitos </w:t>
            </w:r>
          </w:p>
        </w:tc>
        <w:tc>
          <w:tcPr>
            <w:tcW w:type="dxa" w:w="6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11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1,79 x TRA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5,07 </w:t>
            </w:r>
          </w:p>
        </w:tc>
      </w:tr>
      <w:tr>
        <w:trPr>
          <w:trHeight w:hRule="exact" w:val="296"/>
        </w:trPr>
        <w:tc>
          <w:tcPr>
            <w:tcW w:type="dxa" w:w="51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1,5 a 5 m³/h </w:t>
            </w:r>
          </w:p>
        </w:tc>
        <w:tc>
          <w:tcPr>
            <w:tcW w:type="dxa" w:w="6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12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27,04 x TRA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76,52 </w:t>
            </w:r>
          </w:p>
        </w:tc>
      </w:tr>
      <w:tr>
        <w:trPr>
          <w:trHeight w:hRule="exact" w:val="294"/>
        </w:trPr>
        <w:tc>
          <w:tcPr>
            <w:tcW w:type="dxa" w:w="51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acima de 5 m³/h </w:t>
            </w:r>
          </w:p>
        </w:tc>
        <w:tc>
          <w:tcPr>
            <w:tcW w:type="dxa" w:w="6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13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85,23 x TRA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241,20 </w:t>
            </w:r>
          </w:p>
        </w:tc>
      </w:tr>
      <w:tr>
        <w:trPr>
          <w:trHeight w:hRule="exact" w:val="290"/>
        </w:trPr>
        <w:tc>
          <w:tcPr>
            <w:tcW w:type="dxa" w:w="51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Teste de hidrômetro 1,5 a 5 m³/h </w:t>
            </w:r>
          </w:p>
        </w:tc>
        <w:tc>
          <w:tcPr>
            <w:tcW w:type="dxa" w:w="6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14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17,02 x TRA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48,17 </w:t>
            </w:r>
          </w:p>
        </w:tc>
      </w:tr>
      <w:tr>
        <w:trPr>
          <w:trHeight w:hRule="exact" w:val="296"/>
        </w:trPr>
        <w:tc>
          <w:tcPr>
            <w:tcW w:type="dxa" w:w="51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Pavimentação em metro linear </w:t>
            </w:r>
          </w:p>
        </w:tc>
        <w:tc>
          <w:tcPr>
            <w:tcW w:type="dxa" w:w="6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15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25,55 x TRA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72,31 </w:t>
            </w:r>
          </w:p>
        </w:tc>
      </w:tr>
      <w:tr>
        <w:trPr>
          <w:trHeight w:hRule="exact" w:val="544"/>
        </w:trPr>
        <w:tc>
          <w:tcPr>
            <w:tcW w:type="dxa" w:w="51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0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Remanejamento de ligação de água de ¾” inferior a 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metros </w:t>
            </w:r>
          </w:p>
        </w:tc>
        <w:tc>
          <w:tcPr>
            <w:tcW w:type="dxa" w:w="6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16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54,12 x TRA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153,16 </w:t>
            </w:r>
          </w:p>
        </w:tc>
      </w:tr>
      <w:tr>
        <w:trPr>
          <w:trHeight w:hRule="exact" w:val="548"/>
        </w:trPr>
        <w:tc>
          <w:tcPr>
            <w:tcW w:type="dxa" w:w="51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Remanejamento de ligação de água de ¾” superior a 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metros </w:t>
            </w:r>
          </w:p>
        </w:tc>
        <w:tc>
          <w:tcPr>
            <w:tcW w:type="dxa" w:w="6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17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210 x TRA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594,30 </w:t>
            </w:r>
          </w:p>
        </w:tc>
      </w:tr>
      <w:tr>
        <w:trPr>
          <w:trHeight w:hRule="exact" w:val="548"/>
        </w:trPr>
        <w:tc>
          <w:tcPr>
            <w:tcW w:type="dxa" w:w="51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Conserto de rede de água danificada </w:t>
            </w:r>
          </w:p>
        </w:tc>
        <w:tc>
          <w:tcPr>
            <w:tcW w:type="dxa" w:w="6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18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apurado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apurado </w:t>
            </w:r>
          </w:p>
        </w:tc>
      </w:tr>
      <w:tr>
        <w:trPr>
          <w:trHeight w:hRule="exact" w:val="548"/>
        </w:trPr>
        <w:tc>
          <w:tcPr>
            <w:tcW w:type="dxa" w:w="51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Conserto de rede de esgoto danificada </w:t>
            </w:r>
          </w:p>
        </w:tc>
        <w:tc>
          <w:tcPr>
            <w:tcW w:type="dxa" w:w="6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3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apurado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apurado </w:t>
            </w:r>
          </w:p>
        </w:tc>
      </w:tr>
    </w:tbl>
    <w:p>
      <w:pPr>
        <w:autoSpaceDN w:val="0"/>
        <w:tabs>
          <w:tab w:pos="9220" w:val="left"/>
        </w:tabs>
        <w:autoSpaceDE w:val="0"/>
        <w:widowControl/>
        <w:spacing w:line="197" w:lineRule="auto" w:before="3804" w:after="0"/>
        <w:ind w:left="1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63 – 27/08/2014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5 </w:t>
      </w:r>
    </w:p>
    <w:p>
      <w:pPr>
        <w:sectPr>
          <w:pgSz w:w="11906" w:h="16841"/>
          <w:pgMar w:top="1020" w:right="1250" w:bottom="568" w:left="12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tabs>
          <w:tab w:pos="1394" w:val="left"/>
          <w:tab w:pos="4236" w:val="left"/>
        </w:tabs>
        <w:autoSpaceDE w:val="0"/>
        <w:widowControl/>
        <w:spacing w:line="377" w:lineRule="auto" w:before="0" w:after="298"/>
        <w:ind w:left="116" w:right="576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63, DE 27 DE AGOSTO DE 2014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3 – PARCELA RELATIVA AO GRAU POLUENTE DO EFLUENTE - JANEIRO DE 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328"/>
      </w:tblGrid>
      <w:tr>
        <w:trPr>
          <w:trHeight w:hRule="exact" w:val="7376"/>
        </w:trPr>
        <w:tc>
          <w:tcPr>
            <w:tcW w:type="dxa" w:w="92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EQUAÇÃO TARIFÁRIA GERAL </w:t>
            </w:r>
          </w:p>
          <w:p>
            <w:pPr>
              <w:autoSpaceDN w:val="0"/>
              <w:autoSpaceDE w:val="0"/>
              <w:widowControl/>
              <w:spacing w:line="197" w:lineRule="auto" w:before="344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ETG = (A + B + C) </w:t>
            </w:r>
          </w:p>
          <w:p>
            <w:pPr>
              <w:autoSpaceDN w:val="0"/>
              <w:autoSpaceDE w:val="0"/>
              <w:widowControl/>
              <w:spacing w:line="245" w:lineRule="auto" w:before="348" w:after="0"/>
              <w:ind w:left="108" w:right="172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Onde: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ETG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Equação Tarifária Geral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à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MO x VMM x (1 x TRE)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à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SST x VMM x (1 x TRE)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à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SIT x VMM x (100 x TRE) </w:t>
            </w:r>
          </w:p>
          <w:p>
            <w:pPr>
              <w:autoSpaceDN w:val="0"/>
              <w:autoSpaceDE w:val="0"/>
              <w:widowControl/>
              <w:spacing w:line="245" w:lineRule="auto" w:before="34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Legenda: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MO (Matéria Orgânica)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= Concentração média mensal excedente (em Kgl/m³) nos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trabalhados, em relação ao previsto nas normas internas da concessionária, de Matéria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Orgânica, conforme a seguinte equação: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(2 x DBO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5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a 20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C + DQO) / 3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SST (Sólidos Suspensos Totais)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Concentração média mensal (em Kg/m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) excedente nos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dias trabalhados, em relação ao previsto nas normas internas da concessionária, de Sólidos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Suspensos Totais. </w:t>
            </w:r>
          </w:p>
          <w:p>
            <w:pPr>
              <w:autoSpaceDN w:val="0"/>
              <w:autoSpaceDE w:val="0"/>
              <w:widowControl/>
              <w:spacing w:line="245" w:lineRule="auto" w:before="36" w:after="0"/>
              <w:ind w:left="108" w:right="54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SIT (Substâncias Inibidoras e Tóxicas)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Concentração média mensal (em Kg/m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) excedente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nos dias trabalhados, em relação ao previsto para cada um dos parâmetros ao processo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tratamento, constantes nas normas internas da concessionária, de Substâncias Inibidoras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Tóxicas. </w:t>
            </w:r>
          </w:p>
          <w:p>
            <w:pPr>
              <w:autoSpaceDN w:val="0"/>
              <w:autoSpaceDE w:val="0"/>
              <w:widowControl/>
              <w:spacing w:line="245" w:lineRule="auto" w:before="54" w:after="0"/>
              <w:ind w:left="108" w:right="115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VMM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Vazão Média Mensal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TRE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Tarifa Referencial de Esgoto, dada em R$/Kg (igual a R$ 2,83/Kg)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DBO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= Demanda Bioquímica de Oxigênio, durante 5 dias, a 20 graus centígrados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DQO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Demanda Química de Oxigênio </w:t>
            </w:r>
          </w:p>
        </w:tc>
      </w:tr>
    </w:tbl>
    <w:p>
      <w:pPr>
        <w:autoSpaceDN w:val="0"/>
        <w:autoSpaceDE w:val="0"/>
        <w:widowControl/>
        <w:spacing w:line="245" w:lineRule="auto" w:before="340" w:after="0"/>
        <w:ind w:left="1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Equação Tarifária Geral (ETG), em R$/Kg, a ser aplicada aos estabelecimentos não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residenciais que lançam seus efluentes nas redes de coleta de esgoto. </w:t>
      </w:r>
    </w:p>
    <w:p>
      <w:pPr>
        <w:autoSpaceDN w:val="0"/>
        <w:tabs>
          <w:tab w:pos="9190" w:val="left"/>
        </w:tabs>
        <w:autoSpaceDE w:val="0"/>
        <w:widowControl/>
        <w:spacing w:line="197" w:lineRule="auto" w:before="3492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63 – 27/08/2014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6 </w:t>
      </w:r>
    </w:p>
    <w:sectPr w:rsidR="00FC693F" w:rsidRPr="0006063C" w:rsidSect="00034616">
      <w:pgSz w:w="11906" w:h="16841"/>
      <w:pgMar w:top="1020" w:right="1276" w:bottom="568" w:left="130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