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67, DE 07 DE NOVEMBRO DE 2014 </w:t>
      </w:r>
    </w:p>
    <w:p>
      <w:pPr>
        <w:autoSpaceDN w:val="0"/>
        <w:autoSpaceDE w:val="0"/>
        <w:widowControl/>
        <w:spacing w:line="245" w:lineRule="auto" w:before="642" w:after="0"/>
        <w:ind w:left="397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metodologia de apuração e forma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repasse do valor da Taxa de Regulação e Fiscalização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referente ao Exercício de 2015, cobrada pela ARES-PCJ,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junto aos prestadores de serviços públicos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de água potável e esgotamento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sanitário em municípios consorciados e conveniados.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>DAS BACIAS DOS RIOS PIRACICABA, CAPIVARI E JUNDIAÍ (AGÊNCIA 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os incisos I e III da Cláusula 32ª e os incisos I e II da Cláusula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34ª do Protocolo de Intenções da ARES-PCJ, convertido em Contrato de Consórcio Público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incisos I e III do Artigo 28 e incisos I e II do Artigo 30 do Estatuto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conforme o inciso XV, da Cláusula 20ª, do Protocolo de Intenções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compete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Assembleia Geral deliberar sobre a fixação, revisão e reajuste dos valores das taxas e tarifas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outros preços públicos, referentes aos  serviços prestados pela Agência Reguladora 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68ª do Protocolo de Intenções da ARES-PCJ trata do fato gerador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que tem, como sujeitos passivos, os prestadores de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saneamento básico, no âmbito dos Municípios consorciados;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§ 2º, da Cláusula 69ª, do Protocolo de Intenções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prevê que a alíquota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Taxa de Regulação e Fiscalização poderá ser revista, observados critérios técnicos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§ 4º do Art. 53, do Estatuto Social da ARES-PCJ, define que os repasses referentes à Taxa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serão mensais, depositados em conta corrente da ARES-PCJ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10 (dez) de cada mês, tendo como base o montante arrecadado no mês anterior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prestador de serviços públicos de saneamento básico, no âmbito do Município consorciado;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durante a 3ª Assembleia Geral Ordinária da ARES-PCJ foi aprovada a revisão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periodicidade do cálculo de cobrança da Taxa de Regulação e Fiscalização, junto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dos serviços públicos de abastecimento de água potável 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como base os valores das receitas financeiras apurados no Exercício anterior; </w:t>
      </w:r>
    </w:p>
    <w:p>
      <w:pPr>
        <w:autoSpaceDN w:val="0"/>
        <w:tabs>
          <w:tab w:pos="9216" w:val="left"/>
        </w:tabs>
        <w:autoSpaceDE w:val="0"/>
        <w:widowControl/>
        <w:spacing w:line="197" w:lineRule="auto" w:before="8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67 – 07/11/2014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41"/>
          <w:pgMar w:top="1162" w:right="1056" w:bottom="57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14"/>
        <w:ind w:left="0" w:right="0"/>
      </w:pPr>
    </w:p>
    <w:p>
      <w:pPr>
        <w:autoSpaceDN w:val="0"/>
        <w:autoSpaceDE w:val="0"/>
        <w:widowControl/>
        <w:spacing w:line="245" w:lineRule="auto" w:before="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 7ª Assembleia Geral Ordinária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aprovada,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Exercício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2015, a redução da alíquota da Taxa de Regulação e Fiscalização cobrada dos prestadores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potável e esgotamento sanitário no âmbito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consorciados e conveniados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com a redução aprovada, a alíquota da Taxa de Regulação e Fiscalização passa dos atuais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0,40% (quarenta centésimos por cento) para 0,30% (trinta centésimos por cento), tendo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os valores das receitas financeiras dos prestadores dos serviços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potável e esgotamento sanitário apurados no Exercício de 2014;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na área de atuação da ARES-PCJ há prestadores de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utilizam a contabilidade pública (prefeituras e autarquias municipais), outros que utilizam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contabilidade comercial (empresas privadas e de economia mista) e ainda há outros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possuem contratos de concessão com municípios, com cláusulas específicas sobre 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Fiscalização; e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conforme o inciso I, da Cláusula 32ª, do Protocolo de Intenções da ARES-PCJ, os membros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Diretoria Executiva da Agência Reguladora PCJ, reunidos em 07 de novembro de 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decidiram pela emissão de Resolução específica sobre a metodologia de apuração e a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repasse do valor da Taxa de Regulação e Fiscalização cobrada pela ARES-PCJ.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Definir metodologia de cálculo do valor da Taxa de Regulação e Fiscalização,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natureza jurídica do prestador de serviços públicos de saneamento básico, no âmbito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consorciados e conveniados para o Exercício de 2015, tendo como base nas receitas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ao Exercício de 2014.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valor da Taxa de Regulação e Fiscalização, para os prestadores de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que utilizam a Contabilidade Pública, de Regime Contábil de Caixa, terá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base o total das Receitas Correntes de 2014, subtraindo o total das Receitas Patrimoniais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e será calculado através da seguinte expressão matemática: </w:t>
      </w:r>
      <w:r>
        <w:rPr>
          <w:rFonts w:ascii="Calibri" w:hAnsi="Calibri" w:eastAsia="Calibri"/>
          <w:b/>
          <w:i w:val="0"/>
          <w:color w:val="000000"/>
          <w:sz w:val="24"/>
        </w:rPr>
        <w:t>TR = (RC - RP) x 0,003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rPr>
          <w:rFonts w:ascii="Calibri" w:hAnsi="Calibri" w:eastAsia="Calibri"/>
          <w:b/>
          <w:i/>
          <w:color w:val="000000"/>
          <w:sz w:val="24"/>
        </w:rPr>
        <w:t>TR = Taxa de Regulação,</w:t>
      </w:r>
      <w:r>
        <w:rPr>
          <w:rFonts w:ascii="Calibri" w:hAnsi="Calibri" w:eastAsia="Calibri"/>
          <w:b/>
          <w:i/>
          <w:color w:val="000000"/>
          <w:sz w:val="24"/>
        </w:rPr>
        <w:t>RC = Receita Corrente de 2014;</w:t>
      </w:r>
      <w:r>
        <w:rPr>
          <w:rFonts w:ascii="Calibri" w:hAnsi="Calibri" w:eastAsia="Calibri"/>
          <w:b/>
          <w:i/>
          <w:color w:val="000000"/>
          <w:sz w:val="24"/>
        </w:rPr>
        <w:t xml:space="preserve">RP = Receita Patrimonial de </w:t>
      </w:r>
      <w:r>
        <w:rPr>
          <w:rFonts w:ascii="Calibri" w:hAnsi="Calibri" w:eastAsia="Calibri"/>
          <w:b/>
          <w:i/>
          <w:color w:val="000000"/>
          <w:sz w:val="24"/>
        </w:rPr>
        <w:t xml:space="preserve">2014; e 0,003 = Alíquota para 2015.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valor da Taxa de Regulação e Fiscalização, para os prestadores de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que utilizam a Contabilidade Comercial, de Regime Contábil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Competência, terá como base o total da Receita Operacional Líquida de 2014 e será calculado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da seguinte expressão matemática: </w:t>
      </w:r>
      <w:r>
        <w:rPr>
          <w:rFonts w:ascii="Calibri" w:hAnsi="Calibri" w:eastAsia="Calibri"/>
          <w:b/>
          <w:i w:val="0"/>
          <w:color w:val="000000"/>
          <w:sz w:val="24"/>
        </w:rPr>
        <w:t>TR = ROL x 0,003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onde: </w:t>
      </w:r>
      <w:r>
        <w:rPr>
          <w:rFonts w:ascii="Calibri" w:hAnsi="Calibri" w:eastAsia="Calibri"/>
          <w:b/>
          <w:i/>
          <w:color w:val="000000"/>
          <w:sz w:val="24"/>
        </w:rPr>
        <w:t xml:space="preserve">TR = Taxa de Regulação, </w:t>
      </w:r>
      <w:r>
        <w:rPr>
          <w:rFonts w:ascii="Calibri" w:hAnsi="Calibri" w:eastAsia="Calibri"/>
          <w:b/>
          <w:i/>
          <w:color w:val="000000"/>
          <w:sz w:val="24"/>
        </w:rPr>
        <w:t xml:space="preserve">ROL = Receita Operacional Líquida de 2014 e 0,003 = Alíquota para 2015. </w:t>
      </w:r>
    </w:p>
    <w:p>
      <w:pPr>
        <w:autoSpaceDN w:val="0"/>
        <w:tabs>
          <w:tab w:pos="9216" w:val="left"/>
        </w:tabs>
        <w:autoSpaceDE w:val="0"/>
        <w:widowControl/>
        <w:spacing w:line="197" w:lineRule="auto" w:before="9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67 – 07/11/2014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41"/>
          <w:pgMar w:top="1134" w:right="1056" w:bottom="57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O valor total apurado da Taxa de Regulação e Fiscalização será dividido em 10 (dez)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parcelas iguais a serem repassadas à ARES-PCJ todo dia 10 (dez) de cada mês,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da primeira parcela em fevereiro de 2015. Caso essa data coincidir com sábado,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domingo ou feriado, o vencimento ficará prorrogado automaticamente para o primeiro dia útil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subsequente.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Os repasses referentes à Taxa de Regulação e Fiscalização serão efetuados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depósitos bancários em favor da ARES-PCJ.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ARES-PCJ poderá emitir boletos bancários referentes à cobrança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comprovação do valor correspondente à Taxa de Regulação e Fiscalização,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prestadores de serviços públicos de saneamento básico deverão encaminhar, para 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seus respectivos balanços contábeis, tão logo estes sejam elaborados e publicados.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216" w:val="left"/>
        </w:tabs>
        <w:autoSpaceDE w:val="0"/>
        <w:widowControl/>
        <w:spacing w:line="197" w:lineRule="auto" w:before="64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67 – 07/11/2014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sectPr w:rsidR="00FC693F" w:rsidRPr="0006063C" w:rsidSect="00034616">
      <w:pgSz w:w="11906" w:h="16841"/>
      <w:pgMar w:top="1158" w:right="1056" w:bottom="57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