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108, DE 16 DE NOVEMBRO DE 2015 </w:t>
      </w:r>
    </w:p>
    <w:p>
      <w:pPr>
        <w:autoSpaceDN w:val="0"/>
        <w:autoSpaceDE w:val="0"/>
        <w:widowControl/>
        <w:spacing w:line="245" w:lineRule="auto" w:before="642" w:after="0"/>
        <w:ind w:left="5956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 Valor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Referencial de Serviços – VRS, praticado pela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empresa Odebrecht Ambiental Rio Claro,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Rio Claro/SP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4.129, de 13/12/2010,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Odebrecht Ambiental Rio Claro S.A.,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70, de 11/12/2014, encaminhou à Agência Reguladora PCJ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 ao pleito de revisão extraordinária, buscando o reequilíbrio econômico-financeiro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Parceria Público-Privada (Contrato nº 013-07X), firmado com 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41/2015 -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procedência da revisão, a fim de recuperar o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revisão extraordinária encontra autorização legal no inc. II, do art. 38,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definindo que: “As revisões tarifárias compreenderão a reavaliação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da prestação dos serviços e das tarifas praticadas e poderão ser extraordinárias,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verificar a ocorrência de fatos não previstos no contrato, fora do controle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dos serviços, que alterem o seu equilíbrio econômico-financeiro”;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 Audiência Pública nº 16/2015, no dia 21 de outubro de 2015, das 10h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11h, no Auditório II da Secretaria de Educação de Rio Claro, localizado na Rua Dr. Eloy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108 – 16/11/2015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285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Chaves, nº 3.265 (Núcleo Administrativo Municipal – NAM) – Bairro Alto Santana,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e discussão da proposta de revisão extraordinária;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Rio Claro, reunido no dia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novembro de 2015, às 10h, na Casa dos Conselhos (Avenida 1, nº 780) analisou e aprovou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Parecer Consolidado nº 41/2015 – CRO, inclusive o índice de revisão extraordinária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4,76% (quatro inteiros e setenta e seis centésimos por cento) sobre o valor do VRS atual; e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16 de novembro de 2015,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 valor atual do VRS – Valor Referencial de Serviços pago à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Odebrecht Ambiental Rio Claro S.A. em 4,76% (quatro inteiros e setenta e seis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passando dos atuais R$ 2,46/m³ (dois reais e quarenta e seis centavos por 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cúbico), para R$ 2,58/m³ (dois reais e cinquenta e oito centavos por metro cúbico).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Fica definido, como marco inicial do desequilíbrio contratual, o mês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2015 e o novo valor do Valor Referencial de Serviços – VRS será aplicado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da Nota Fiscal da Concessionária de 15 de janeiro de 2016.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41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108 – 16/11/2015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10003790</wp:posOffset>
            </wp:positionV>
            <wp:extent cx="756285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0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