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111, DE 26 DE NOVEMBRO DE 2015 </w:t>
      </w:r>
    </w:p>
    <w:p>
      <w:pPr>
        <w:autoSpaceDN w:val="0"/>
        <w:autoSpaceDE w:val="0"/>
        <w:widowControl/>
        <w:spacing w:line="245" w:lineRule="auto" w:before="690" w:after="26"/>
        <w:ind w:left="5656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prestados pelo Departamento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294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Administrativos,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Esgoto,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56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Jaguariúna - SP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38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2.094, de 22/12/2010,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 - SP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Serviços Administrativos, Água e Esgoto de Jaguariúna, ligado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Meio Ambiente de Jaguariúna,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20, encaminhou à Agência Reguladora PCJ documentações relativas ao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praticados,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no Município de Jaguariúna - SP; </w:t>
      </w:r>
    </w:p>
    <w:p>
      <w:pPr>
        <w:autoSpaceDN w:val="0"/>
        <w:autoSpaceDE w:val="0"/>
        <w:widowControl/>
        <w:spacing w:line="245" w:lineRule="auto" w:before="344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45/2015 -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a fim de recuperar o equilíbrio econômico-financeiro do Departamento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Administrativos, Água e Esgoto de Jaguariúna concluiu serem necessários os reajustes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prestados.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Jaguariúna,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de novembro de 2015, analisou e aprovou o Parecer Consolidado nº 45/2015 - 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de reajuste de 11,75% (onze inteiros e setenta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as Tarifas de Água e Esgoto e para os Preços Públicos dos demais serviços; e </w:t>
      </w:r>
    </w:p>
    <w:p>
      <w:pPr>
        <w:autoSpaceDN w:val="0"/>
        <w:tabs>
          <w:tab w:pos="10334" w:val="left"/>
        </w:tabs>
        <w:autoSpaceDE w:val="0"/>
        <w:widowControl/>
        <w:spacing w:line="197" w:lineRule="auto" w:before="8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111 – 26/11/2015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26 de novembro de 2015, </w:t>
      </w:r>
    </w:p>
    <w:p>
      <w:pPr>
        <w:autoSpaceDN w:val="0"/>
        <w:autoSpaceDE w:val="0"/>
        <w:widowControl/>
        <w:spacing w:line="197" w:lineRule="auto" w:before="63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Serviços Administrativos, Água e Esgoto de Jaguariúna, em 11,75% (onze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setenta e cinco centésimos por cento), a partir do mês de dezembro de 2015,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de Usuários e Faixas de Consumo. </w:t>
      </w:r>
    </w:p>
    <w:p>
      <w:pPr>
        <w:autoSpaceDN w:val="0"/>
        <w:autoSpaceDE w:val="0"/>
        <w:widowControl/>
        <w:spacing w:line="245" w:lineRule="auto" w:before="322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pelo Departamento de Serviços Administrativos, Água e Esgoto de Jaguariúna,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11,75% (onze inteiros e setenta e cinco centésimos por cento), a partir do mês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2015. </w:t>
      </w:r>
    </w:p>
    <w:p>
      <w:pPr>
        <w:autoSpaceDN w:val="0"/>
        <w:autoSpaceDE w:val="0"/>
        <w:widowControl/>
        <w:spacing w:line="245" w:lineRule="auto" w:before="320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Departamento de Serviços Administrativos,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conforme apresentado nas Tabelas 1 e 2, do Anexo I desta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respectivamente.</w:t>
      </w:r>
    </w:p>
    <w:p>
      <w:pPr>
        <w:autoSpaceDN w:val="0"/>
        <w:autoSpaceDE w:val="0"/>
        <w:widowControl/>
        <w:spacing w:line="245" w:lineRule="auto" w:before="320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Departamento de Serviços Administrativos,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Jaguariúna, entrarão em vigor 30 (trinta) dias após 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e, se necessário, também Ato Administrativo específico,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Jaguariúna, conforme determina o Art. 39, da Lei Federal nº 11.445/2007. </w:t>
      </w:r>
    </w:p>
    <w:p>
      <w:pPr>
        <w:autoSpaceDN w:val="0"/>
        <w:autoSpaceDE w:val="0"/>
        <w:widowControl/>
        <w:spacing w:line="245" w:lineRule="auto" w:before="322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Departamento de Serviços Administrativos, Água e Esgoto de Jaguariúna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obedecer ao prazo mínimo de 30 (trinta) dias da publicação da Resolução,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para iniciar as leituras/medições, visando a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valores reajustados. </w:t>
      </w:r>
    </w:p>
    <w:p>
      <w:pPr>
        <w:autoSpaceDN w:val="0"/>
        <w:autoSpaceDE w:val="0"/>
        <w:widowControl/>
        <w:spacing w:line="245" w:lineRule="auto" w:before="322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de Serviços Administrativos,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Jaguariúna afixará tabela com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pela Agência Reguladora PCJ e o início da vigência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valores. </w:t>
      </w:r>
    </w:p>
    <w:p>
      <w:pPr>
        <w:autoSpaceDN w:val="0"/>
        <w:autoSpaceDE w:val="0"/>
        <w:widowControl/>
        <w:spacing w:line="197" w:lineRule="auto" w:before="32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34" w:val="left"/>
        </w:tabs>
        <w:autoSpaceDE w:val="0"/>
        <w:widowControl/>
        <w:spacing w:line="197" w:lineRule="auto" w:before="2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111 – 26/11/2015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111, DE 26 DE NOVEMBRO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04"/>
        </w:trPr>
        <w:tc>
          <w:tcPr>
            <w:tcW w:type="dxa" w:w="80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908"/>
        </w:trPr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4,27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</w:tr>
      <w:tr>
        <w:trPr>
          <w:trHeight w:hRule="exact" w:val="302"/>
        </w:trPr>
        <w:tc>
          <w:tcPr>
            <w:tcW w:type="dxa" w:w="2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</w:tr>
      <w:tr>
        <w:trPr>
          <w:trHeight w:hRule="exact" w:val="30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</w:tr>
      <w:tr>
        <w:trPr>
          <w:trHeight w:hRule="exact" w:val="30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</w:tr>
      <w:tr>
        <w:trPr>
          <w:trHeight w:hRule="exact" w:val="30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0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</w:tr>
      <w:tr>
        <w:trPr>
          <w:trHeight w:hRule="exact" w:val="30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06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</w:tr>
      <w:tr>
        <w:trPr>
          <w:trHeight w:hRule="exact" w:val="304"/>
        </w:trPr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0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20"/>
        </w:trPr>
        <w:tc>
          <w:tcPr>
            <w:tcW w:type="dxa" w:w="80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93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9,49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18,03 </w:t>
            </w:r>
          </w:p>
        </w:tc>
      </w:tr>
      <w:tr>
        <w:trPr>
          <w:trHeight w:hRule="exact" w:val="316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</w:tr>
      <w:tr>
        <w:trPr>
          <w:trHeight w:hRule="exact" w:val="316"/>
        </w:trPr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1,21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1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</w:tr>
      <w:tr>
        <w:trPr>
          <w:trHeight w:hRule="exact" w:val="318"/>
        </w:trPr>
        <w:tc>
          <w:tcPr>
            <w:tcW w:type="dxa" w:w="26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4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3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1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</w:tr>
      <w:tr>
        <w:trPr>
          <w:trHeight w:hRule="exact" w:val="32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1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</w:tr>
      <w:tr>
        <w:trPr>
          <w:trHeight w:hRule="exact" w:val="318"/>
        </w:trPr>
        <w:tc>
          <w:tcPr>
            <w:tcW w:type="dxa" w:w="26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4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3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14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</w:tr>
    </w:tbl>
    <w:p>
      <w:pPr>
        <w:autoSpaceDN w:val="0"/>
        <w:autoSpaceDE w:val="0"/>
        <w:widowControl/>
        <w:spacing w:line="20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225"/>
        <w:gridCol w:w="5225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111 – 26/11/2015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16"/>
        </w:trPr>
        <w:tc>
          <w:tcPr>
            <w:tcW w:type="dxa" w:w="80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938"/>
        </w:trPr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22,58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20,33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42,91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</w:tr>
      <w:tr>
        <w:trPr>
          <w:trHeight w:hRule="exact" w:val="35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4,23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6,08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12,84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15,41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11,67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22,17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14"/>
        </w:trPr>
        <w:tc>
          <w:tcPr>
            <w:tcW w:type="dxa" w:w="80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94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45,45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40,90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86,35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34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13,08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15,01 </w:t>
            </w:r>
          </w:p>
        </w:tc>
      </w:tr>
      <w:tr>
        <w:trPr>
          <w:trHeight w:hRule="exact" w:val="35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8,18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9,38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19,81 </w:t>
            </w:r>
          </w:p>
        </w:tc>
      </w:tr>
      <w:tr>
        <w:trPr>
          <w:trHeight w:hRule="exact" w:val="34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22,84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26,28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15,88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30,17 </w:t>
            </w:r>
          </w:p>
        </w:tc>
      </w:tr>
    </w:tbl>
    <w:p>
      <w:pPr>
        <w:autoSpaceDN w:val="0"/>
        <w:autoSpaceDE w:val="0"/>
        <w:widowControl/>
        <w:spacing w:line="27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225"/>
        <w:gridCol w:w="5225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111 – 26/11/2015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16"/>
        </w:trPr>
        <w:tc>
          <w:tcPr>
            <w:tcW w:type="dxa" w:w="80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938"/>
        </w:trPr>
        <w:tc>
          <w:tcPr>
            <w:tcW w:type="dxa" w:w="2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25,02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47,54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</w:tr>
      <w:tr>
        <w:trPr>
          <w:trHeight w:hRule="exact" w:val="352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6,21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11,80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14,12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17,05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9,67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20,41 </w:t>
            </w:r>
          </w:p>
        </w:tc>
      </w:tr>
      <w:tr>
        <w:trPr>
          <w:trHeight w:hRule="exact" w:val="35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12,87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24,46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14"/>
        </w:trPr>
        <w:tc>
          <w:tcPr>
            <w:tcW w:type="dxa" w:w="80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O.S. </w:t>
            </w:r>
          </w:p>
        </w:tc>
      </w:tr>
      <w:tr>
        <w:trPr>
          <w:trHeight w:hRule="exact" w:val="940"/>
        </w:trPr>
        <w:tc>
          <w:tcPr>
            <w:tcW w:type="dxa" w:w="2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6"/>
        </w:trPr>
        <w:tc>
          <w:tcPr>
            <w:tcW w:type="dxa" w:w="2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  <w:tc>
          <w:tcPr>
            <w:tcW w:type="dxa" w:w="13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</w:tr>
    </w:tbl>
    <w:p>
      <w:pPr>
        <w:autoSpaceDN w:val="0"/>
        <w:autoSpaceDE w:val="0"/>
        <w:widowControl/>
        <w:spacing w:line="59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225"/>
        <w:gridCol w:w="5225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111 – 26/11/2015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111, DE 26 DE NOVEMBRO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6.0" w:type="dxa"/>
      </w:tblPr>
      <w:tblGrid>
        <w:gridCol w:w="5225"/>
        <w:gridCol w:w="5225"/>
      </w:tblGrid>
      <w:tr>
        <w:trPr>
          <w:trHeight w:hRule="exact" w:val="30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LEVANTAR/REBAIXAR/VIRAR CAVALETE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33,27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33,27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REABERTURA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52,88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(3m³/h)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117,84 </w:t>
            </w:r>
          </w:p>
        </w:tc>
      </w:tr>
      <w:tr>
        <w:trPr>
          <w:trHeight w:hRule="exact" w:val="466"/>
        </w:trPr>
        <w:tc>
          <w:tcPr>
            <w:tcW w:type="dxa" w:w="68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(5m³/h)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162,24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(7m³/h)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428,27 </w:t>
            </w:r>
          </w:p>
        </w:tc>
      </w:tr>
      <w:tr>
        <w:trPr>
          <w:trHeight w:hRule="exact" w:val="462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(10m³/h)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473,89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(20m³/h)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839,16 </w:t>
            </w:r>
          </w:p>
        </w:tc>
      </w:tr>
      <w:tr>
        <w:trPr>
          <w:trHeight w:hRule="exact" w:val="466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(30m³/h)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1.126,55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VIOLAÇÃO DE LACRE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33,27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VIOLAÇÃO DE HIDRÔMETRO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283,28 </w:t>
            </w:r>
          </w:p>
        </w:tc>
      </w:tr>
      <w:tr>
        <w:trPr>
          <w:trHeight w:hRule="exact" w:val="462"/>
        </w:trPr>
        <w:tc>
          <w:tcPr>
            <w:tcW w:type="dxa" w:w="68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LIGAÇÃO CLANDESTINA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382,79 </w:t>
            </w:r>
          </w:p>
        </w:tc>
      </w:tr>
      <w:tr>
        <w:trPr>
          <w:trHeight w:hRule="exact" w:val="464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 DE VIELA POR METRO LINEAR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35,72 </w:t>
            </w:r>
          </w:p>
        </w:tc>
      </w:tr>
      <w:tr>
        <w:trPr>
          <w:trHeight w:hRule="exact" w:val="466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CALIBRAÇÃO A PEDIDO DO PROPRIETÁRIO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239,21 </w:t>
            </w:r>
          </w:p>
        </w:tc>
      </w:tr>
      <w:tr>
        <w:trPr>
          <w:trHeight w:hRule="exact" w:val="88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A IMPEDIMENTO VOLUNTÁRIO À PROMOÇÃO DA LEITURA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HIDRÔMETRO OU À EXECUÇÃO DE SERVIÇOS DE MANUTENÇÃO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CAVALETE E HIDRÔMETRO PELA PRESTADORA DE SERVIÇOS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200,00 </w:t>
            </w:r>
          </w:p>
        </w:tc>
      </w:tr>
      <w:tr>
        <w:trPr>
          <w:trHeight w:hRule="exact" w:val="88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NA ETE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ESTAÇÃO DE TRATAMENTO DE ESGOTO, ATRAVÉS DE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(POR VIAGEM)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100,00 </w:t>
            </w:r>
          </w:p>
        </w:tc>
      </w:tr>
      <w:tr>
        <w:trPr>
          <w:trHeight w:hRule="exact" w:val="466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TRANSPORTE E DESTINAÇÃO DE RESÍDUOS DE 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90,00 </w:t>
            </w:r>
          </w:p>
        </w:tc>
      </w:tr>
    </w:tbl>
    <w:p>
      <w:pPr>
        <w:autoSpaceDN w:val="0"/>
        <w:autoSpaceDE w:val="0"/>
        <w:widowControl/>
        <w:spacing w:line="2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225"/>
        <w:gridCol w:w="5225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111 – 26/11/2015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8.0" w:type="dxa"/>
      </w:tblPr>
      <w:tblGrid>
        <w:gridCol w:w="5225"/>
        <w:gridCol w:w="5225"/>
      </w:tblGrid>
      <w:tr>
        <w:trPr>
          <w:trHeight w:hRule="exact" w:val="30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890"/>
        </w:trPr>
        <w:tc>
          <w:tcPr>
            <w:tcW w:type="dxa" w:w="82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RESIDÊNCIAS, CONDOMÍNIOS, COMÉRCIO,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INDÚSTRIA E OUTROS,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CORTE DE ASFALTO, P/ HIDRÔMETROS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DE: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486,16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561,91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959,63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1.028,57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1.445,70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2.310,62 </w:t>
            </w:r>
          </w:p>
        </w:tc>
      </w:tr>
      <w:tr>
        <w:trPr>
          <w:trHeight w:hRule="exact" w:val="890"/>
        </w:trPr>
        <w:tc>
          <w:tcPr>
            <w:tcW w:type="dxa" w:w="82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RESIDÊNCIAS, CONDOMÍNIOS, COMÉRCIO,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INDÚSTRIA E OUTROS,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CORTE DE ASFALTO, P/ HIDRÔMETROS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DE: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713,13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1.071,73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1.404,91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1.507,21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2.114,56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3.377,38 </w:t>
            </w:r>
          </w:p>
        </w:tc>
      </w:tr>
      <w:tr>
        <w:trPr>
          <w:trHeight w:hRule="exact" w:val="886"/>
        </w:trPr>
        <w:tc>
          <w:tcPr>
            <w:tcW w:type="dxa" w:w="82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3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DA SEGUNDA LIGAÇÃO DE ÁGUA COM PLANTA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APROVADA PELA PREFEITURA,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CORTE DE ASFALTO, 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HIDRÔMETROS DE: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441,36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665,12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872,51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936,26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1.314,82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2.101,91 </w:t>
            </w:r>
          </w:p>
        </w:tc>
      </w:tr>
      <w:tr>
        <w:trPr>
          <w:trHeight w:hRule="exact" w:val="888"/>
        </w:trPr>
        <w:tc>
          <w:tcPr>
            <w:tcW w:type="dxa" w:w="822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DA SEGUNDA LIGAÇÃO DE ÁGUA COM PLANTA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APROVADA PELA PREFEITURA,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CORTE DE ASFALTO, 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HIDRÔMETROS DE: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648,21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974,95 </w:t>
            </w:r>
          </w:p>
        </w:tc>
      </w:tr>
      <w:tr>
        <w:trPr>
          <w:trHeight w:hRule="exact" w:val="30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1.277,72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1.370,80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1.923,50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3.072,67 </w:t>
            </w:r>
          </w:p>
        </w:tc>
      </w:tr>
      <w:tr>
        <w:trPr>
          <w:trHeight w:hRule="exact" w:val="59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RESIDÊNCIAS, CONDÔMINIOS, COMÉRCIO,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INDÚSTRIA E OUTROS, SEM CORTE DE ASFALTO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251,63 </w:t>
            </w:r>
          </w:p>
        </w:tc>
      </w:tr>
      <w:tr>
        <w:trPr>
          <w:trHeight w:hRule="exact" w:val="59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RESIDÊNCIAS, CONDÔMINIOS, COMÉRCIO,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INDÚSTRIA E OUTROS, COM CORTE DE ASFALTO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525,87 </w:t>
            </w:r>
          </w:p>
        </w:tc>
      </w:tr>
    </w:tbl>
    <w:p>
      <w:pPr>
        <w:autoSpaceDN w:val="0"/>
        <w:autoSpaceDE w:val="0"/>
        <w:widowControl/>
        <w:spacing w:line="8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225"/>
        <w:gridCol w:w="5225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111 – 26/11/2015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9989820</wp:posOffset>
            </wp:positionV>
            <wp:extent cx="7559040" cy="68833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2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