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120, DE 23 DE DEZEMBRO DE 2015 </w:t>
      </w:r>
    </w:p>
    <w:p>
      <w:pPr>
        <w:autoSpaceDN w:val="0"/>
        <w:autoSpaceDE w:val="0"/>
        <w:widowControl/>
        <w:spacing w:line="245" w:lineRule="auto" w:before="934" w:after="0"/>
        <w:ind w:left="594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Jundiaí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04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8.266,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16/07/2015, pela qual o Município de Jundiaí ratificou 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a Resolução ARES-PCJ nº 20, de 08/04/2013, solicitou estudos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extraordinário dos valores das Tarifas de Água e Esgoto a serem praticados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Jundiaí;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53/2015,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14,68% (quatorze inteiros e sessenta e oito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linear em todas as Categorias e Faixas de Consumo, a fim de recuperar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empresa;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Jundiaí,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 de dezembro de 2015, analisou e aprovou o Parecer Consolidado nº 53/2015,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14,68% (quatorze inteiros e sessenta e oito centésimos por cento),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proposto pela Agência Reguladora PCJ a ser aplicado nas Tarifas de Água e Esgoto e nos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 pela DAE S/A – Água e Esgoto e; </w:t>
      </w:r>
    </w:p>
    <w:p>
      <w:pPr>
        <w:autoSpaceDN w:val="0"/>
        <w:tabs>
          <w:tab w:pos="10336" w:val="left"/>
        </w:tabs>
        <w:autoSpaceDE w:val="0"/>
        <w:widowControl/>
        <w:spacing w:line="197" w:lineRule="auto" w:before="59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120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23 de dezembro de 2015, </w:t>
      </w:r>
    </w:p>
    <w:p>
      <w:pPr>
        <w:autoSpaceDN w:val="0"/>
        <w:autoSpaceDE w:val="0"/>
        <w:widowControl/>
        <w:spacing w:line="197" w:lineRule="auto" w:before="638" w:after="0"/>
        <w:ind w:left="14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no Município de Jundiaí, em 14,68% (quatorze inteiros e sessenta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em todas as Categorias de Usuários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2016.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praticadas pela praticadas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DAE S/A – Água e Esgoto,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a serem praticados pela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S/A – Água e Esgoto, entrarão em vigor 30 (trinta) dias após 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se necessário, Ato Administrativo específico, na imprensa oficial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com efetiva aplicação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de fevereiro de 2016.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DAE S/A – Água e Esgoto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para a realização das leituras e medições e as respectivas emissões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valores reajustados. </w:t>
      </w:r>
    </w:p>
    <w:p>
      <w:pPr>
        <w:autoSpaceDN w:val="0"/>
        <w:autoSpaceDE w:val="0"/>
        <w:widowControl/>
        <w:spacing w:line="245" w:lineRule="auto" w:before="346" w:after="0"/>
        <w:ind w:left="140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DAE S/A – Água e Esgoto afixará tabela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 em local de fácil acesso, em seu sítio na Internet e,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Contas/Faturas, informará que os valores foram reajustados e 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36" w:val="left"/>
        </w:tabs>
        <w:autoSpaceDE w:val="0"/>
        <w:widowControl/>
        <w:spacing w:line="197" w:lineRule="auto" w:before="2400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120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120, DE 23 DE DEZEMBRO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DE VALORES -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04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1108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35,83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44,41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9,34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9,69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13,63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6,24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14,57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20,63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25,20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00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23,54 </w:t>
            </w:r>
          </w:p>
        </w:tc>
        <w:tc>
          <w:tcPr>
            <w:tcW w:type="dxa" w:w="130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17,65 </w:t>
            </w:r>
          </w:p>
        </w:tc>
        <w:tc>
          <w:tcPr>
            <w:tcW w:type="dxa" w:w="13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41,19 </w:t>
            </w:r>
          </w:p>
        </w:tc>
        <w:tc>
          <w:tcPr>
            <w:tcW w:type="dxa" w:w="13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9,86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51,05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7,26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4,42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10,75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4,78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15,69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9,58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7,18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16,76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6,97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23,73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11,69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8,76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20,45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28,98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23,60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33,45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04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53,65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40,23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93,88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32,01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125,89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5,83 </w:t>
            </w:r>
          </w:p>
        </w:tc>
        <w:tc>
          <w:tcPr>
            <w:tcW w:type="dxa" w:w="130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4,37 </w:t>
            </w:r>
          </w:p>
        </w:tc>
        <w:tc>
          <w:tcPr>
            <w:tcW w:type="dxa" w:w="13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10,20 </w:t>
            </w:r>
          </w:p>
        </w:tc>
        <w:tc>
          <w:tcPr>
            <w:tcW w:type="dxa" w:w="13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3,75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13,95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15,78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15,45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21,29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12,29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9,22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21,51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30,04 </w:t>
            </w:r>
          </w:p>
        </w:tc>
      </w:tr>
    </w:tbl>
    <w:p>
      <w:pPr>
        <w:autoSpaceDN w:val="0"/>
        <w:autoSpaceDE w:val="0"/>
        <w:widowControl/>
        <w:spacing w:line="6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5226"/>
        <w:gridCol w:w="5226"/>
      </w:tblGrid>
      <w:tr>
        <w:trPr>
          <w:trHeight w:hRule="exact" w:val="24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120 – 23/12/2015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50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361,17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270,91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632,08 </w:t>
            </w:r>
          </w:p>
        </w:tc>
        <w:tc>
          <w:tcPr>
            <w:tcW w:type="dxa" w:w="26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70" w:after="0"/>
              <w:ind w:left="0" w:right="7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348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11,35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8,51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19,86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13,27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23,22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14,83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11,12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25,95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28,28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50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4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(mínimo)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3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288.273,41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216.171,80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3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504.445,21 </w:t>
            </w:r>
          </w:p>
        </w:tc>
        <w:tc>
          <w:tcPr>
            <w:tcW w:type="dxa" w:w="261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44" w:after="0"/>
              <w:ind w:left="0" w:right="7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4,32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5,78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4,33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300.000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5,80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4,36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6.0" w:type="dxa"/>
      </w:tblPr>
      <w:tblGrid>
        <w:gridCol w:w="5226"/>
        <w:gridCol w:w="5226"/>
      </w:tblGrid>
      <w:tr>
        <w:trPr>
          <w:trHeight w:hRule="exact" w:val="246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120 – 23/12/2015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6030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350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1110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(Água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494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Residencial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Comercial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Institucional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Público/Outros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Industrial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0,47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DBO* (3)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2,57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</w:p>
    <w:p>
      <w:pPr>
        <w:autoSpaceDN w:val="0"/>
        <w:autoSpaceDE w:val="0"/>
        <w:widowControl/>
        <w:spacing w:line="245" w:lineRule="auto" w:before="346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 Residencial, Poder Público / Outros, Comercial e Industrial 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tabela é feita de forma escalonada sobre o consumo medido </w:t>
      </w:r>
    </w:p>
    <w:p>
      <w:pPr>
        <w:autoSpaceDN w:val="0"/>
        <w:autoSpaceDE w:val="0"/>
        <w:widowControl/>
        <w:spacing w:line="245" w:lineRule="auto" w:before="344" w:after="0"/>
        <w:ind w:left="140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 </w:t>
      </w:r>
    </w:p>
    <w:p>
      <w:pPr>
        <w:autoSpaceDN w:val="0"/>
        <w:autoSpaceDE w:val="0"/>
        <w:widowControl/>
        <w:spacing w:line="197" w:lineRule="auto" w:before="348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mensalmente </w:t>
      </w:r>
    </w:p>
    <w:p>
      <w:pPr>
        <w:autoSpaceDN w:val="0"/>
        <w:tabs>
          <w:tab w:pos="10336" w:val="left"/>
        </w:tabs>
        <w:autoSpaceDE w:val="0"/>
        <w:widowControl/>
        <w:spacing w:line="197" w:lineRule="auto" w:before="5122" w:after="0"/>
        <w:ind w:left="14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120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8890</wp:posOffset>
            </wp:positionH>
            <wp:positionV relativeFrom="page">
              <wp:posOffset>9982200</wp:posOffset>
            </wp:positionV>
            <wp:extent cx="756030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20" w:left="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