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 RESOLUÇÃO ARES-PCJ Nº 78, DE 30 DE JANEIRO DE 2015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de água e esgoto a serem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Capivari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 DIRETOR TÉCNICO-OPERACIONAL DA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>SANEAMENTO DAS BACIAS DOS RIOS PIRACICABA, CAPIVARI E JUNDIAÍ –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o Art.31, § 1 do Estatuto Social, a Cláusula 32ª, incisos I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e a Cláusula 34ª, incisos I e II, do Protocolo de Intenções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 e o art. 30, incisos I e II do Estatuto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7.217, de 21/06/2010 e na Lei Municipal nº 3.755, de 04/11/2010,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Capivari ratificou o Protocolo de Intenções e delegou e transferiu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e funções de regulação e fiscalização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Capivari - SAAE,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de água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Capivari, em conformidade com a Resolução ARES-PCJ nº20, solicitou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SAAE Capivari;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04/2015, concluiu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praticados pelo SAAE Capivari em 8,50%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(oito vírgula cinquenta por cento) e pela fixação dos valores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a fim de recuperar o equilíbrio econômico-financeiro da autarquia;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Capivari, reunido no dia 28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janeiro de 2015, analisou e aprovou o Parecer Consolidado nº 04/2015, inclusive o índice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reajuste estabelecido pela ARES-PCJ para as Tarifas de Água e Esgoto e a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dos Preços Públicos dos demais serviços prestados pelo SAAE Capivari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29 de janeiro de 2015,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3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78 – 30/01/2015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41"/>
          <w:pgMar w:top="1162" w:right="1340" w:bottom="5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Capivari - SAAE, em 8,50% (oito vírgula cinquenta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será aplicado a partir do mês de março de 2015,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Capivari - SAAE,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Capivari - SAAE, conforme apresentado na Tabela 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o Serviço Autônomo de Água e Esgoto de Capivari -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estabelecidos nesta Resolução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e, através de mensagens em suas Contas/Faturas, informará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tarifário fixado pela Agência Reguladora PCJ e o início da vigência desses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água e esgoto, a serem praticados pelo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- SAAE entrarão em vigor 30 (trinta) dias após da publicação desta Resolução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Ato Administrativo específico na imprensa oficial do Município de Capivari,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ROBERTO BELANI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Técnico-Operacional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21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78 – 30/01/2015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41"/>
          <w:pgMar w:top="1158" w:right="1340" w:bottom="5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78, DE 30 DE JANEIRO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SANITÁRIO - MARÇO/2015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6.0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76"/>
        </w:trPr>
        <w:tc>
          <w:tcPr>
            <w:tcW w:type="dxa" w:w="772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48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</w:tr>
      <w:tr>
        <w:trPr>
          <w:trHeight w:hRule="exact" w:val="278"/>
        </w:trPr>
        <w:tc>
          <w:tcPr>
            <w:tcW w:type="dxa" w:w="19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(mínimo) </w:t>
            </w:r>
          </w:p>
        </w:tc>
        <w:tc>
          <w:tcPr>
            <w:tcW w:type="dxa" w:w="11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3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7,12 </w:t>
            </w:r>
          </w:p>
        </w:tc>
        <w:tc>
          <w:tcPr>
            <w:tcW w:type="dxa" w:w="154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6,40 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13,52 </w:t>
            </w:r>
          </w:p>
        </w:tc>
      </w:tr>
      <w:tr>
        <w:trPr>
          <w:trHeight w:hRule="exact" w:val="278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1,15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1,03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2,18 </w:t>
            </w:r>
          </w:p>
        </w:tc>
      </w:tr>
      <w:tr>
        <w:trPr>
          <w:trHeight w:hRule="exact" w:val="280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2,86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2,57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5,44 </w:t>
            </w:r>
          </w:p>
        </w:tc>
      </w:tr>
      <w:tr>
        <w:trPr>
          <w:trHeight w:hRule="exact" w:val="278"/>
        </w:trPr>
        <w:tc>
          <w:tcPr>
            <w:tcW w:type="dxa" w:w="196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4,10 </w:t>
            </w:r>
          </w:p>
        </w:tc>
        <w:tc>
          <w:tcPr>
            <w:tcW w:type="dxa" w:w="154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3,69 </w:t>
            </w:r>
          </w:p>
        </w:tc>
        <w:tc>
          <w:tcPr>
            <w:tcW w:type="dxa" w:w="1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7,79 </w:t>
            </w:r>
          </w:p>
        </w:tc>
      </w:tr>
      <w:tr>
        <w:trPr>
          <w:trHeight w:hRule="exact" w:val="278"/>
        </w:trPr>
        <w:tc>
          <w:tcPr>
            <w:tcW w:type="dxa" w:w="19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1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6,14 </w:t>
            </w:r>
          </w:p>
        </w:tc>
        <w:tc>
          <w:tcPr>
            <w:tcW w:type="dxa" w:w="15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5,52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11,66 </w:t>
            </w:r>
          </w:p>
        </w:tc>
      </w:tr>
      <w:tr>
        <w:trPr>
          <w:trHeight w:hRule="exact" w:val="280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6,74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12,79 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6.0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76"/>
        </w:trPr>
        <w:tc>
          <w:tcPr>
            <w:tcW w:type="dxa" w:w="772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550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</w:tr>
      <w:tr>
        <w:trPr>
          <w:trHeight w:hRule="exact" w:val="276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(mínimo)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14,24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12,81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27,05 </w:t>
            </w:r>
          </w:p>
        </w:tc>
      </w:tr>
      <w:tr>
        <w:trPr>
          <w:trHeight w:hRule="exact" w:val="280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2,29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2,06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4,35 </w:t>
            </w:r>
          </w:p>
        </w:tc>
      </w:tr>
      <w:tr>
        <w:trPr>
          <w:trHeight w:hRule="exact" w:val="280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2,86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2,57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5,44 </w:t>
            </w:r>
          </w:p>
        </w:tc>
      </w:tr>
      <w:tr>
        <w:trPr>
          <w:trHeight w:hRule="exact" w:val="280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4,10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3,69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7,79 </w:t>
            </w:r>
          </w:p>
        </w:tc>
      </w:tr>
      <w:tr>
        <w:trPr>
          <w:trHeight w:hRule="exact" w:val="278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6,14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5,52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11,66 </w:t>
            </w:r>
          </w:p>
        </w:tc>
      </w:tr>
      <w:tr>
        <w:trPr>
          <w:trHeight w:hRule="exact" w:val="278"/>
        </w:trPr>
        <w:tc>
          <w:tcPr>
            <w:tcW w:type="dxa" w:w="196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6,74 </w:t>
            </w:r>
          </w:p>
        </w:tc>
        <w:tc>
          <w:tcPr>
            <w:tcW w:type="dxa" w:w="15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6,05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12,79 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6.0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80"/>
        </w:trPr>
        <w:tc>
          <w:tcPr>
            <w:tcW w:type="dxa" w:w="772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546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</w:tr>
      <w:tr>
        <w:trPr>
          <w:trHeight w:hRule="exact" w:val="280"/>
        </w:trPr>
        <w:tc>
          <w:tcPr>
            <w:tcW w:type="dxa" w:w="19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(mínimo) </w:t>
            </w:r>
          </w:p>
        </w:tc>
        <w:tc>
          <w:tcPr>
            <w:tcW w:type="dxa" w:w="11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33,60 </w:t>
            </w:r>
          </w:p>
        </w:tc>
        <w:tc>
          <w:tcPr>
            <w:tcW w:type="dxa" w:w="15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30,25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63,85 </w:t>
            </w:r>
          </w:p>
        </w:tc>
      </w:tr>
      <w:tr>
        <w:trPr>
          <w:trHeight w:hRule="exact" w:val="278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4,89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4,41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9,30 </w:t>
            </w:r>
          </w:p>
        </w:tc>
      </w:tr>
      <w:tr>
        <w:trPr>
          <w:trHeight w:hRule="exact" w:val="276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5,43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4,88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10,31 </w:t>
            </w:r>
          </w:p>
        </w:tc>
      </w:tr>
      <w:tr>
        <w:trPr>
          <w:trHeight w:hRule="exact" w:val="280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7,80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7,02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14,82 </w:t>
            </w:r>
          </w:p>
        </w:tc>
      </w:tr>
      <w:tr>
        <w:trPr>
          <w:trHeight w:hRule="exact" w:val="278"/>
        </w:trPr>
        <w:tc>
          <w:tcPr>
            <w:tcW w:type="dxa" w:w="19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1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11,64 </w:t>
            </w:r>
          </w:p>
        </w:tc>
        <w:tc>
          <w:tcPr>
            <w:tcW w:type="dxa" w:w="15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10,48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22,12 </w:t>
            </w:r>
          </w:p>
        </w:tc>
      </w:tr>
      <w:tr>
        <w:trPr>
          <w:trHeight w:hRule="exact" w:val="280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12,56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11,31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23,87 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6.0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78"/>
        </w:trPr>
        <w:tc>
          <w:tcPr>
            <w:tcW w:type="dxa" w:w="772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46"/>
        </w:trPr>
        <w:tc>
          <w:tcPr>
            <w:tcW w:type="dxa" w:w="19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1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5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5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</w:tr>
      <w:tr>
        <w:trPr>
          <w:trHeight w:hRule="exact" w:val="278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(mínimo)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33,60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30,25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63,85 </w:t>
            </w:r>
          </w:p>
        </w:tc>
      </w:tr>
      <w:tr>
        <w:trPr>
          <w:trHeight w:hRule="exact" w:val="280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4,89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4,41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9,30 </w:t>
            </w:r>
          </w:p>
        </w:tc>
      </w:tr>
      <w:tr>
        <w:trPr>
          <w:trHeight w:hRule="exact" w:val="280"/>
        </w:trPr>
        <w:tc>
          <w:tcPr>
            <w:tcW w:type="dxa" w:w="196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5,43 </w:t>
            </w:r>
          </w:p>
        </w:tc>
        <w:tc>
          <w:tcPr>
            <w:tcW w:type="dxa" w:w="154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4,88 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10,31 </w:t>
            </w:r>
          </w:p>
        </w:tc>
      </w:tr>
      <w:tr>
        <w:trPr>
          <w:trHeight w:hRule="exact" w:val="278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7,80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7,02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14,82 </w:t>
            </w:r>
          </w:p>
        </w:tc>
      </w:tr>
      <w:tr>
        <w:trPr>
          <w:trHeight w:hRule="exact" w:val="280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11,64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10,48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22,12 </w:t>
            </w:r>
          </w:p>
        </w:tc>
      </w:tr>
      <w:tr>
        <w:trPr>
          <w:trHeight w:hRule="exact" w:val="278"/>
        </w:trPr>
        <w:tc>
          <w:tcPr>
            <w:tcW w:type="dxa" w:w="19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12,56 </w:t>
            </w:r>
          </w:p>
        </w:tc>
        <w:tc>
          <w:tcPr>
            <w:tcW w:type="dxa" w:w="1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11,31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23,87 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Observação: a Tarifa de Esgotamento Sanitário corresponde a 90% da Tarifa de Água.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3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78 – 30/01/2015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41"/>
          <w:pgMar w:top="1162" w:right="1418" w:bottom="5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8"/>
        <w:ind w:left="0" w:right="0"/>
      </w:pPr>
    </w:p>
    <w:p>
      <w:pPr>
        <w:autoSpaceDN w:val="0"/>
        <w:autoSpaceDE w:val="0"/>
        <w:widowControl/>
        <w:spacing w:line="197" w:lineRule="auto" w:before="0" w:after="59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- MARÇO 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6.0" w:type="dxa"/>
      </w:tblPr>
      <w:tblGrid>
        <w:gridCol w:w="4535"/>
        <w:gridCol w:w="4535"/>
      </w:tblGrid>
      <w:tr>
        <w:trPr>
          <w:trHeight w:hRule="exact" w:val="302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R$ </w:t>
            </w:r>
          </w:p>
        </w:tc>
      </w:tr>
      <w:tr>
        <w:trPr>
          <w:trHeight w:hRule="exact" w:val="304"/>
        </w:trPr>
        <w:tc>
          <w:tcPr>
            <w:tcW w:type="dxa" w:w="62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– Caminhão Pipa – (8 mil litros) </w:t>
            </w:r>
          </w:p>
        </w:tc>
        <w:tc>
          <w:tcPr>
            <w:tcW w:type="dxa" w:w="12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74,39 </w:t>
            </w:r>
          </w:p>
        </w:tc>
      </w:tr>
      <w:tr>
        <w:trPr>
          <w:trHeight w:hRule="exact" w:val="304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no asfalto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717,94 </w:t>
            </w:r>
          </w:p>
        </w:tc>
      </w:tr>
      <w:tr>
        <w:trPr>
          <w:trHeight w:hRule="exact" w:val="302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no asfalto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961,50 </w:t>
            </w:r>
          </w:p>
        </w:tc>
      </w:tr>
      <w:tr>
        <w:trPr>
          <w:trHeight w:hRule="exact" w:val="302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no asfalto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1.080,06 </w:t>
            </w:r>
          </w:p>
        </w:tc>
      </w:tr>
      <w:tr>
        <w:trPr>
          <w:trHeight w:hRule="exact" w:val="306"/>
        </w:trPr>
        <w:tc>
          <w:tcPr>
            <w:tcW w:type="dxa" w:w="62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no Paralelepípedo </w:t>
            </w:r>
          </w:p>
        </w:tc>
        <w:tc>
          <w:tcPr>
            <w:tcW w:type="dxa" w:w="12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717,94 </w:t>
            </w:r>
          </w:p>
        </w:tc>
      </w:tr>
      <w:tr>
        <w:trPr>
          <w:trHeight w:hRule="exact" w:val="300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no Paralelepípedo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961,50 </w:t>
            </w:r>
          </w:p>
        </w:tc>
      </w:tr>
      <w:tr>
        <w:trPr>
          <w:trHeight w:hRule="exact" w:val="306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no Paralelepípedo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1.080,06 </w:t>
            </w:r>
          </w:p>
        </w:tc>
      </w:tr>
      <w:tr>
        <w:trPr>
          <w:trHeight w:hRule="exact" w:val="300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na calçada/terra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474,25 </w:t>
            </w:r>
          </w:p>
        </w:tc>
      </w:tr>
      <w:tr>
        <w:trPr>
          <w:trHeight w:hRule="exact" w:val="304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na calçada/ terra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717,81 </w:t>
            </w:r>
          </w:p>
        </w:tc>
      </w:tr>
      <w:tr>
        <w:trPr>
          <w:trHeight w:hRule="exact" w:val="304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na calçada/terra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886,37 </w:t>
            </w:r>
          </w:p>
        </w:tc>
      </w:tr>
      <w:tr>
        <w:trPr>
          <w:trHeight w:hRule="exact" w:val="302"/>
        </w:trPr>
        <w:tc>
          <w:tcPr>
            <w:tcW w:type="dxa" w:w="62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Hidrômetros </w:t>
            </w:r>
          </w:p>
        </w:tc>
        <w:tc>
          <w:tcPr>
            <w:tcW w:type="dxa" w:w="12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69,43 </w:t>
            </w:r>
          </w:p>
        </w:tc>
      </w:tr>
      <w:tr>
        <w:trPr>
          <w:trHeight w:hRule="exact" w:val="304"/>
        </w:trPr>
        <w:tc>
          <w:tcPr>
            <w:tcW w:type="dxa" w:w="62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2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337,85 </w:t>
            </w:r>
          </w:p>
        </w:tc>
      </w:tr>
      <w:tr>
        <w:trPr>
          <w:trHeight w:hRule="exact" w:val="304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no cavalete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49,87 </w:t>
            </w:r>
          </w:p>
        </w:tc>
      </w:tr>
      <w:tr>
        <w:trPr>
          <w:trHeight w:hRule="exact" w:val="302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na calçada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224,87 </w:t>
            </w:r>
          </w:p>
        </w:tc>
      </w:tr>
      <w:tr>
        <w:trPr>
          <w:trHeight w:hRule="exact" w:val="302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no asfalto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426,85 </w:t>
            </w:r>
          </w:p>
        </w:tc>
      </w:tr>
      <w:tr>
        <w:trPr>
          <w:trHeight w:hRule="exact" w:val="302"/>
        </w:trPr>
        <w:tc>
          <w:tcPr>
            <w:tcW w:type="dxa" w:w="62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no fornecimento a pedido </w:t>
            </w:r>
          </w:p>
        </w:tc>
        <w:tc>
          <w:tcPr>
            <w:tcW w:type="dxa" w:w="12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24,94 </w:t>
            </w:r>
          </w:p>
        </w:tc>
      </w:tr>
      <w:tr>
        <w:trPr>
          <w:trHeight w:hRule="exact" w:val="302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devido a corte no fornecimento a pedido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24,94 </w:t>
            </w:r>
          </w:p>
        </w:tc>
      </w:tr>
      <w:tr>
        <w:trPr>
          <w:trHeight w:hRule="exact" w:val="308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15,00 </w:t>
            </w:r>
          </w:p>
        </w:tc>
      </w:tr>
      <w:tr>
        <w:trPr>
          <w:trHeight w:hRule="exact" w:val="300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via da conta de água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</w:tr>
      <w:tr>
        <w:trPr>
          <w:trHeight w:hRule="exact" w:val="304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45,00 </w:t>
            </w:r>
          </w:p>
        </w:tc>
      </w:tr>
      <w:tr>
        <w:trPr>
          <w:trHeight w:hRule="exact" w:val="302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por U.C.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20,00 </w:t>
            </w:r>
          </w:p>
        </w:tc>
      </w:tr>
      <w:tr>
        <w:trPr>
          <w:trHeight w:hRule="exact" w:val="304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por U.C.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45,00 </w:t>
            </w:r>
          </w:p>
        </w:tc>
      </w:tr>
      <w:tr>
        <w:trPr>
          <w:trHeight w:hRule="exact" w:val="302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Compromisso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45,00 </w:t>
            </w:r>
          </w:p>
        </w:tc>
      </w:tr>
      <w:tr>
        <w:trPr>
          <w:trHeight w:hRule="exact" w:val="304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alternativa de correspondência simples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1,80 </w:t>
            </w:r>
          </w:p>
        </w:tc>
      </w:tr>
      <w:tr>
        <w:trPr>
          <w:trHeight w:hRule="exact" w:val="304"/>
        </w:trPr>
        <w:tc>
          <w:tcPr>
            <w:tcW w:type="dxa" w:w="62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Limpa Fossa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156,00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44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78 – 30/01/2015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sectPr w:rsidR="00FC693F" w:rsidRPr="0006063C" w:rsidSect="00034616">
      <w:pgSz w:w="11906" w:h="16841"/>
      <w:pgMar w:top="1158" w:right="1418" w:bottom="58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