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82, DE 24 DE FEVEREIRO DE 2015. </w:t>
      </w:r>
    </w:p>
    <w:p>
      <w:pPr>
        <w:autoSpaceDN w:val="0"/>
        <w:autoSpaceDE w:val="0"/>
        <w:widowControl/>
        <w:spacing w:line="245" w:lineRule="auto" w:before="642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prestados, a serem aplicadas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Nova Odessa.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2.611, de 20/06/2012,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Nova Odessa ratificou o Protocolo de Intenções,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o exercício das atividades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Desenvolvimento de Nova Odessa – CODEN, através do Ofício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059/2015, de 10/02/2015/Adm, solicitou à ARES-PCJ reajuste das tarifas de água tratada,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 afastamento de esgoto sanitário e preços públicos de 8,98% (oito vírgula noventa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07/2015 CRBG, concluiu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factível o reajuste tarifário dos serviços de abastecimento de água tratada,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 demais preços públicos de água e esgoto, a fim de recuperar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e dar condições para garantir os compromissos e investimentos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 – CODEN;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Social, conforme Ata de Reunião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3ª Reunião Ordinária/2015, realizada em 20 de fevereiro de 2015, analisaram e aprovaram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reajuste do município e o conteúdo do Parecer Consolidado nº 07/2015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20 de fevereiro de 2015,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82 – 24/02/2015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9988550</wp:posOffset>
            </wp:positionV>
            <wp:extent cx="7564119" cy="723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Art.1º. Reajustar os atuais valores das Tarifas de Água praticadas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Nova Odessa – CODEN, em 3,96% (três vírgula noventa e seis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abril de 2015,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praticadas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Nova Odessa – CODEN,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a vigorar a partir de abril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Art.3º. Fixar os novos valores das Tarifas de Esgoto praticadas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Nova Odessa – CODEN, equivalente a 90% (noventa por cento)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Água, conforme Tabela 1, do Anexo I, desta Resolução, a vigorar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abril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Art.4º. Fixar os novos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 – CODEN, conforme Tabela 2, do Anexo I,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a partir de abril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Para fins de divulgação, a Companhia de Desenvolvimento de Nova Odessa – CODEN,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 – CODEN,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Odessa,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5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82 – 24/02/2015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9988550</wp:posOffset>
            </wp:positionV>
            <wp:extent cx="7564119" cy="723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82, DE 24 DE FEVEREIRO DE 2015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- ABRIL/2015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CATEGORIA - RESIDENCIAL</w:t>
            </w:r>
          </w:p>
        </w:tc>
      </w:tr>
      <w:tr>
        <w:trPr>
          <w:trHeight w:hRule="exact" w:val="304"/>
        </w:trPr>
        <w:tc>
          <w:tcPr>
            <w:tcW w:type="dxa" w:w="283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TARIFAS (R$)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7,33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10,11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11,95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12,68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506"/>
            <w:gridSpan w:val="5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CATEGORIA - COMERCIAL</w:t>
            </w:r>
          </w:p>
        </w:tc>
      </w:tr>
      <w:tr>
        <w:trPr>
          <w:trHeight w:hRule="exact" w:val="300"/>
        </w:trPr>
        <w:tc>
          <w:tcPr>
            <w:tcW w:type="dxa" w:w="283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TARIFAS (R$)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5,84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7,13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13,55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8,03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15,25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8,44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17,04 </w:t>
            </w:r>
          </w:p>
        </w:tc>
      </w:tr>
    </w:tbl>
    <w:p>
      <w:pPr>
        <w:autoSpaceDN w:val="0"/>
        <w:autoSpaceDE w:val="0"/>
        <w:widowControl/>
        <w:spacing w:line="1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82 – 24/02/2015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9988550</wp:posOffset>
            </wp:positionV>
            <wp:extent cx="7564119" cy="723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CATEGORIA - INDUSTRIAL</w:t>
            </w:r>
          </w:p>
        </w:tc>
      </w:tr>
      <w:tr>
        <w:trPr>
          <w:trHeight w:hRule="exact" w:val="302"/>
        </w:trPr>
        <w:tc>
          <w:tcPr>
            <w:tcW w:type="dxa" w:w="283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TARIFAS (R$)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6,93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7,66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10,21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11,95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7,31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13,89 </w:t>
            </w:r>
          </w:p>
        </w:tc>
      </w:tr>
      <w:tr>
        <w:trPr>
          <w:trHeight w:hRule="exact" w:val="306"/>
        </w:trPr>
        <w:tc>
          <w:tcPr>
            <w:tcW w:type="dxa" w:w="283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14,30 </w:t>
            </w:r>
          </w:p>
        </w:tc>
      </w:tr>
      <w:tr>
        <w:trPr>
          <w:trHeight w:hRule="exact" w:val="30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16,47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9,16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17,40 </w:t>
            </w:r>
          </w:p>
        </w:tc>
      </w:tr>
      <w:tr>
        <w:trPr>
          <w:trHeight w:hRule="exact" w:val="30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9,66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18,35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Esgotamento Sanitário corresponde a 90% da Tarifa de Água.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4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82 – 24/02/2015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9988550</wp:posOffset>
            </wp:positionV>
            <wp:extent cx="7564119" cy="723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82, DE 24 DE FEVEREIRO DE 2015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TABELA DOS PREÇOS PÚBLICOS DOS SERVIÇOS - ABRIL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(internet, emitida pela CODEN)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7,57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autorização de lançamentos de efluentes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coletora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disponibilidade de rede de água e esgoto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</w:tr>
      <w:tr>
        <w:trPr>
          <w:trHeight w:hRule="exact" w:val="30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1,51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Arquivos diversos gravados em mídia digital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38,00 </w:t>
            </w:r>
          </w:p>
        </w:tc>
      </w:tr>
      <w:tr>
        <w:trPr>
          <w:trHeight w:hRule="exact" w:val="30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</w:tr>
      <w:tr>
        <w:trPr>
          <w:trHeight w:hRule="exact" w:val="30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196,87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Físico-Química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218,08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Diretriz básica para elaboração de projetos de distribuição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coletora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22,71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prévia de projetos: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4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Loteamentos até 15.000 m² de área total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1.817,32 </w:t>
            </w:r>
          </w:p>
        </w:tc>
      </w:tr>
      <w:tr>
        <w:trPr>
          <w:trHeight w:hRule="exact" w:val="30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4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Loteamentos de 15.001 m² até 30.000 m² de área total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2.271,63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4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Loteamentos acima de 30.001 m² de área total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2.725,95 </w:t>
            </w:r>
          </w:p>
        </w:tc>
      </w:tr>
      <w:tr>
        <w:trPr>
          <w:trHeight w:hRule="exact" w:val="5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água e esgoto de loteamentos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desmembramentos, c/lotes de área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un/lote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loteamento urbano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un/lote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</w:tr>
      <w:tr>
        <w:trPr>
          <w:trHeight w:hRule="exact" w:val="30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compulsória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461,62 </w:t>
            </w:r>
          </w:p>
        </w:tc>
      </w:tr>
      <w:tr>
        <w:trPr>
          <w:trHeight w:hRule="exact" w:val="30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compulsória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355,73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água (caixa padrão)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213,66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água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225,16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(caixa padrão)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474,35 </w:t>
            </w:r>
          </w:p>
        </w:tc>
      </w:tr>
      <w:tr>
        <w:trPr>
          <w:trHeight w:hRule="exact" w:val="30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501,48 </w:t>
            </w:r>
          </w:p>
        </w:tc>
      </w:tr>
      <w:tr>
        <w:trPr>
          <w:trHeight w:hRule="exact" w:val="30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380,05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(caixa padrão)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580,21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607,35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e instalação de hidrômetro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160,04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77,71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de ligação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462,37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derivação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69,04 </w:t>
            </w:r>
          </w:p>
        </w:tc>
      </w:tr>
    </w:tbl>
    <w:p>
      <w:pPr>
        <w:autoSpaceDN w:val="0"/>
        <w:autoSpaceDE w:val="0"/>
        <w:widowControl/>
        <w:spacing w:line="5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82 – 24/02/2015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9988550</wp:posOffset>
            </wp:positionV>
            <wp:extent cx="7564119" cy="723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191,11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do ramal de entrada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366,84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do ramal de entrada (calçada)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224,51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Elevação de cavalete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97,26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94,26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171,71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Remendo de calçada tipo mosaico português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68,16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68,16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25,63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suspensão e restabelecimento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47,23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tipo II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84,35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tipo III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217,91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22,25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II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47,72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III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203,40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23,07 </w:t>
            </w:r>
          </w:p>
        </w:tc>
      </w:tr>
      <w:tr>
        <w:trPr>
          <w:trHeight w:hRule="exact" w:val="30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Água tratada entregue pela CODEN (8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235,31 </w:t>
            </w:r>
          </w:p>
        </w:tc>
      </w:tr>
      <w:tr>
        <w:trPr>
          <w:trHeight w:hRule="exact" w:val="30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retirada c/ caminhão próprio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bruta retirada c/ caminhão próprio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</w:tr>
      <w:tr>
        <w:trPr>
          <w:trHeight w:hRule="exact" w:val="30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Diligencia de Suspensão do Fornecimento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47,23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de Fornecimento e/ou de Capacidade Técnica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12,93 </w:t>
            </w:r>
          </w:p>
        </w:tc>
      </w:tr>
      <w:tr>
        <w:trPr>
          <w:trHeight w:hRule="exact" w:val="306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Instalação de Caixa Padrão na Calçada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595,85 </w:t>
            </w:r>
          </w:p>
        </w:tc>
      </w:tr>
      <w:tr>
        <w:trPr>
          <w:trHeight w:hRule="exact" w:val="30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(frente única)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0,32 </w:t>
            </w:r>
          </w:p>
        </w:tc>
      </w:tr>
    </w:tbl>
    <w:p>
      <w:pPr>
        <w:autoSpaceDN w:val="0"/>
        <w:autoSpaceDE w:val="0"/>
        <w:widowControl/>
        <w:spacing w:line="56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82 – 24/02/2015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9988550</wp:posOffset>
            </wp:positionV>
            <wp:extent cx="7564119" cy="7239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nas instalações dos sistemas públicos de água e esgotos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possam afetar a eficiência dos serviços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888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hidráulica predial de água ligada à rede pública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interligada com abastecimento de água alimentada por outras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fontes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do ramal predial antes do hidrômetro (by pass)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Danificação propositada, inversão ou supressão do hidrômetro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 de água e/ou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633,39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bomba ou quaisquer dispositivos no ramal predial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rede de distribuição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águas pluviais nas instalações ou coletores prediais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esgotos sanitários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do abastecimento de água em ligações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cortadas no cavalete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do abastecimento de água em ligações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cortadas no ramal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de instalações prediais de água, entre imóveis distintos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ou sem débito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8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Impedimento voluntário à promoção da leitura do hidrômetro ou 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serviços de manutenção do cavalete e hidrômetro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prestadora de serviços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da caixa ou cubículo de proteção do hidrômetro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138,34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de proteção do cavalete e do hidrômetro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138,34 </w:t>
            </w:r>
          </w:p>
        </w:tc>
      </w:tr>
      <w:tr>
        <w:trPr>
          <w:trHeight w:hRule="exact" w:val="304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indevida do hidrante instalado na área interna do imóvel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gordura sifonada na instalação predial interna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aparelhos eliminadores ou supressores de ar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30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Lacrar a tampa da caixa de inspeção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inspeção no ramal de esgoto em logradouro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(testada do imóvel)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 nas instalações ou coletores de águas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pluviais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Lançar resíduos sólidos na rede coletora de esgoto, que possam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prejudicar o seu correto funcionamento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8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É vedada a instalação de equipamento nas adjacências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hidrômetro, inclusive na instalação predial, que influencie nas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metrológicas no equipamento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276,69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Reincidência das infrações descritas acima (dobro do valor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 infração)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Dobro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</w:t>
            </w:r>
          </w:p>
        </w:tc>
      </w:tr>
    </w:tbl>
    <w:p>
      <w:pPr>
        <w:autoSpaceDN w:val="0"/>
        <w:autoSpaceDE w:val="0"/>
        <w:widowControl/>
        <w:spacing w:line="9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82 – 24/02/2015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9988550</wp:posOffset>
            </wp:positionV>
            <wp:extent cx="7564119" cy="7239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