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83, DE 11 DE MARÇO DE 2015. </w:t>
      </w:r>
    </w:p>
    <w:p>
      <w:pPr>
        <w:autoSpaceDN w:val="0"/>
        <w:autoSpaceDE w:val="0"/>
        <w:widowControl/>
        <w:spacing w:line="245" w:lineRule="auto" w:before="642" w:after="0"/>
        <w:ind w:left="5814" w:right="136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das tarifas de água 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esgoto, revisão da estrutura tarifária do serviço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esgotamento sanitário do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Araraquara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8.178, de 09/04/2014,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Araraquara foi autorizado a firmar o Convênio de Cooperação nº 03/2014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delegou o exercício das atividades de regulação econômica e fiscalização da qualidade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Departamento Autônomo de Água e Esgotos - DAAE Araraquara, através do Ofício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020/15/Superintendência, datado de 23 de janeiro de 2015, solicitou à ARES-PCJ estudos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revisão tarifária, trazendo com o pedido os documentos exigidos pela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20, de 08 de abril de 2013;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10/2015 CRO, concluiu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factível o pleito de revisão tarifária dos serviços de abastecimento de água tratada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a fim de manter o equilíbrio econômico-financeiro e dar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garantir os compromissos e investimentos do DAAE Araraquara;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pleito de revisão, conforme regra da Resolução ARES-PCJ nº 32, de 31 de outubro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2013, foi submetido na Audiência Pública nº 04/2015, no dia 25 de fevereiro de 2015,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oportunidade na qual foram feitas as apresentações do pleito, dos estudos que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embasaram e a proposta de revisão tarifária;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Municipal de Saneamento Básico, revestido das atribuições consultivas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na Resolução ARES-PCJ nº 01/2011, na data de 09 de março de 2015, analisou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aprovou o Parecer Consolidado nº 10/2015, apresentado pela ARES-PCJ; e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59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83 – 11/03/2015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-10160</wp:posOffset>
            </wp:positionH>
            <wp:positionV relativeFrom="page">
              <wp:posOffset>10001250</wp:posOffset>
            </wp:positionV>
            <wp:extent cx="7564119" cy="685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411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revisão tarifária,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Agência Reguladora PCJ (ARES-PCJ), reunida em 11 de março de 2015,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Art.1º. Reajustar os valores atuais das Tarifas de Água praticadas pelo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Esgotos - DAAE Araraquara, em 7,14% (sete vírgula catorze por cento),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referentes à correção das perdas inflacionária medidas pelo Índice Nacional de Preços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 Amplo – IPCA/IBGE, no acumulado dos 12 meses.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abril de 2015, em todas as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categorias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Fixar os novos valores das Tarifas de Água praticadas pelo Departamento Autônomo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Esgotos - DAAE Araraquara, conforme apresentado no Anexo I desta Resolução,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vigorar a partir de abril de 2015.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Art.3º. Autorizar a revisão da estrutura e fixar novos valores das Tarifas de Esgoto praticadas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Departamento Autônomo de Água e Esgotos - DAAE Araraquara, passando dos atuais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80% (oitenta por cento) para 100% (cem por cento), dando-se, assim a equiparação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praticados entre água e esgoto, conforme Anexo I desta Resolução, a vigorar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abril de 2015.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Para fins de divulgação, o Departamento Autônomo de Água e Esgotos - DAAE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Araraquara, afixará tabela com os novos valores das tarifas de água e esgoto em local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fácil acesso, em seu sítio eletrônico na internet e através de mensagens em suas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5º. Os novos valores, estabelecidos nesta Resolução,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Autônomo de Água e Esgotos - DAAE Araraquara, após 30 (trinta) dias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publicação desta Resolução na imprensa oficial, ou em jornal de circulação no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Araraquara, 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6º. Esta Resolução entrará em vigor na data da sua publicação. </w:t>
      </w:r>
    </w:p>
    <w:p>
      <w:pPr>
        <w:autoSpaceDN w:val="0"/>
        <w:autoSpaceDE w:val="0"/>
        <w:widowControl/>
        <w:spacing w:line="245" w:lineRule="auto" w:before="930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35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83 – 11/03/2015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-10160</wp:posOffset>
            </wp:positionH>
            <wp:positionV relativeFrom="page">
              <wp:posOffset>10001250</wp:posOffset>
            </wp:positionV>
            <wp:extent cx="7564119" cy="685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411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83, DE 11 DE MARÇO DE 2015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27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VALORES DAS TARIFAS DE ÁGUA E ESGOTO - ABRIL/2015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5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92"/>
        </w:trPr>
        <w:tc>
          <w:tcPr>
            <w:tcW w:type="dxa" w:w="7808"/>
            <w:gridSpan w:val="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</w:t>
            </w:r>
          </w:p>
        </w:tc>
      </w:tr>
      <w:tr>
        <w:trPr>
          <w:trHeight w:hRule="exact" w:val="294"/>
        </w:trPr>
        <w:tc>
          <w:tcPr>
            <w:tcW w:type="dxa" w:w="1602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10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260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260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546"/>
        </w:trPr>
        <w:tc>
          <w:tcPr>
            <w:tcW w:type="dxa" w:w="1504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  <w:tc>
          <w:tcPr>
            <w:tcW w:type="dxa" w:w="12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</w:tr>
      <w:tr>
        <w:trPr>
          <w:trHeight w:hRule="exact" w:val="294"/>
        </w:trPr>
        <w:tc>
          <w:tcPr>
            <w:tcW w:type="dxa" w:w="16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1,32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1,32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294"/>
        </w:trPr>
        <w:tc>
          <w:tcPr>
            <w:tcW w:type="dxa" w:w="16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20 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2,37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10,53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2,37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10,53 </w:t>
            </w:r>
          </w:p>
        </w:tc>
      </w:tr>
      <w:tr>
        <w:trPr>
          <w:trHeight w:hRule="exact" w:val="292"/>
        </w:trPr>
        <w:tc>
          <w:tcPr>
            <w:tcW w:type="dxa" w:w="16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a 30 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3,38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30,70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3,38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30,70 </w:t>
            </w:r>
          </w:p>
        </w:tc>
      </w:tr>
      <w:tr>
        <w:trPr>
          <w:trHeight w:hRule="exact" w:val="294"/>
        </w:trPr>
        <w:tc>
          <w:tcPr>
            <w:tcW w:type="dxa" w:w="160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40 </w:t>
            </w:r>
          </w:p>
        </w:tc>
        <w:tc>
          <w:tcPr>
            <w:tcW w:type="dxa" w:w="10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4,43 </w:t>
            </w:r>
          </w:p>
        </w:tc>
        <w:tc>
          <w:tcPr>
            <w:tcW w:type="dxa" w:w="13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62,24 </w:t>
            </w:r>
          </w:p>
        </w:tc>
        <w:tc>
          <w:tcPr>
            <w:tcW w:type="dxa" w:w="12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4,43 </w:t>
            </w:r>
          </w:p>
        </w:tc>
        <w:tc>
          <w:tcPr>
            <w:tcW w:type="dxa" w:w="13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62,24 </w:t>
            </w:r>
          </w:p>
        </w:tc>
      </w:tr>
      <w:tr>
        <w:trPr>
          <w:trHeight w:hRule="exact" w:val="290"/>
        </w:trPr>
        <w:tc>
          <w:tcPr>
            <w:tcW w:type="dxa" w:w="16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a 50 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5,26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95,57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5,26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95,57 </w:t>
            </w:r>
          </w:p>
        </w:tc>
      </w:tr>
      <w:tr>
        <w:trPr>
          <w:trHeight w:hRule="exact" w:val="296"/>
        </w:trPr>
        <w:tc>
          <w:tcPr>
            <w:tcW w:type="dxa" w:w="16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a 100 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6,27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145,99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6,27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145,99 </w:t>
            </w:r>
          </w:p>
        </w:tc>
      </w:tr>
      <w:tr>
        <w:trPr>
          <w:trHeight w:hRule="exact" w:val="290"/>
        </w:trPr>
        <w:tc>
          <w:tcPr>
            <w:tcW w:type="dxa" w:w="16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 a 200 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7,41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259,99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7,41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259,99 </w:t>
            </w:r>
          </w:p>
        </w:tc>
      </w:tr>
      <w:tr>
        <w:trPr>
          <w:trHeight w:hRule="exact" w:val="298"/>
        </w:trPr>
        <w:tc>
          <w:tcPr>
            <w:tcW w:type="dxa" w:w="16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201 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8,81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539,69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8,81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539,69 </w:t>
            </w:r>
          </w:p>
        </w:tc>
      </w:tr>
    </w:tbl>
    <w:p>
      <w:pPr>
        <w:autoSpaceDN w:val="0"/>
        <w:autoSpaceDE w:val="0"/>
        <w:widowControl/>
        <w:spacing w:line="2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5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80"/>
        </w:trPr>
        <w:tc>
          <w:tcPr>
            <w:tcW w:type="dxa" w:w="7808"/>
            <w:gridSpan w:val="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COMERCIAL, PÚBLICA E ENTIDADES ASSISTENCIAIS </w:t>
            </w:r>
          </w:p>
        </w:tc>
      </w:tr>
      <w:tr>
        <w:trPr>
          <w:trHeight w:hRule="exact" w:val="276"/>
        </w:trPr>
        <w:tc>
          <w:tcPr>
            <w:tcW w:type="dxa" w:w="1602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10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260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260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550"/>
        </w:trPr>
        <w:tc>
          <w:tcPr>
            <w:tcW w:type="dxa" w:w="1504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</w:tr>
      <w:tr>
        <w:trPr>
          <w:trHeight w:hRule="exact" w:val="278"/>
        </w:trPr>
        <w:tc>
          <w:tcPr>
            <w:tcW w:type="dxa" w:w="16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2,85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2,85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278"/>
        </w:trPr>
        <w:tc>
          <w:tcPr>
            <w:tcW w:type="dxa" w:w="160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20 </w:t>
            </w:r>
          </w:p>
        </w:tc>
        <w:tc>
          <w:tcPr>
            <w:tcW w:type="dxa" w:w="100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5,13 </w:t>
            </w:r>
          </w:p>
        </w:tc>
        <w:tc>
          <w:tcPr>
            <w:tcW w:type="dxa" w:w="1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22,80 </w:t>
            </w:r>
          </w:p>
        </w:tc>
        <w:tc>
          <w:tcPr>
            <w:tcW w:type="dxa" w:w="1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5,13 </w:t>
            </w:r>
          </w:p>
        </w:tc>
        <w:tc>
          <w:tcPr>
            <w:tcW w:type="dxa" w:w="1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22,80 </w:t>
            </w:r>
          </w:p>
        </w:tc>
      </w:tr>
      <w:tr>
        <w:trPr>
          <w:trHeight w:hRule="exact" w:val="278"/>
        </w:trPr>
        <w:tc>
          <w:tcPr>
            <w:tcW w:type="dxa" w:w="160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a 30 </w:t>
            </w:r>
          </w:p>
        </w:tc>
        <w:tc>
          <w:tcPr>
            <w:tcW w:type="dxa" w:w="10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7,49 </w:t>
            </w:r>
          </w:p>
        </w:tc>
        <w:tc>
          <w:tcPr>
            <w:tcW w:type="dxa" w:w="1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70,05 </w:t>
            </w:r>
          </w:p>
        </w:tc>
        <w:tc>
          <w:tcPr>
            <w:tcW w:type="dxa" w:w="1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7,49 </w:t>
            </w:r>
          </w:p>
        </w:tc>
        <w:tc>
          <w:tcPr>
            <w:tcW w:type="dxa" w:w="1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70,05 </w:t>
            </w:r>
          </w:p>
        </w:tc>
      </w:tr>
      <w:tr>
        <w:trPr>
          <w:trHeight w:hRule="exact" w:val="280"/>
        </w:trPr>
        <w:tc>
          <w:tcPr>
            <w:tcW w:type="dxa" w:w="16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40 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9,38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126,82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9,38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126,82 </w:t>
            </w:r>
          </w:p>
        </w:tc>
      </w:tr>
      <w:tr>
        <w:trPr>
          <w:trHeight w:hRule="exact" w:val="278"/>
        </w:trPr>
        <w:tc>
          <w:tcPr>
            <w:tcW w:type="dxa" w:w="16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a 50 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11,00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191,36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11,00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191,36 </w:t>
            </w:r>
          </w:p>
        </w:tc>
      </w:tr>
      <w:tr>
        <w:trPr>
          <w:trHeight w:hRule="exact" w:val="278"/>
        </w:trPr>
        <w:tc>
          <w:tcPr>
            <w:tcW w:type="dxa" w:w="16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a 100 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13,01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291,73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13,01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291,73 </w:t>
            </w:r>
          </w:p>
        </w:tc>
      </w:tr>
      <w:tr>
        <w:trPr>
          <w:trHeight w:hRule="exact" w:val="278"/>
        </w:trPr>
        <w:tc>
          <w:tcPr>
            <w:tcW w:type="dxa" w:w="16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 a 200 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15,49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540,16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15,49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540,16 </w:t>
            </w:r>
          </w:p>
        </w:tc>
      </w:tr>
      <w:tr>
        <w:trPr>
          <w:trHeight w:hRule="exact" w:val="278"/>
        </w:trPr>
        <w:tc>
          <w:tcPr>
            <w:tcW w:type="dxa" w:w="160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201 </w:t>
            </w:r>
          </w:p>
        </w:tc>
        <w:tc>
          <w:tcPr>
            <w:tcW w:type="dxa" w:w="10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18,45 </w:t>
            </w:r>
          </w:p>
        </w:tc>
        <w:tc>
          <w:tcPr>
            <w:tcW w:type="dxa" w:w="1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1.131,88 </w:t>
            </w:r>
          </w:p>
        </w:tc>
        <w:tc>
          <w:tcPr>
            <w:tcW w:type="dxa" w:w="1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18,45 </w:t>
            </w:r>
          </w:p>
        </w:tc>
        <w:tc>
          <w:tcPr>
            <w:tcW w:type="dxa" w:w="1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1.131,88 </w:t>
            </w:r>
          </w:p>
        </w:tc>
      </w:tr>
    </w:tbl>
    <w:p>
      <w:pPr>
        <w:autoSpaceDN w:val="0"/>
        <w:autoSpaceDE w:val="0"/>
        <w:widowControl/>
        <w:spacing w:line="2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5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78"/>
        </w:trPr>
        <w:tc>
          <w:tcPr>
            <w:tcW w:type="dxa" w:w="7808"/>
            <w:gridSpan w:val="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280"/>
        </w:trPr>
        <w:tc>
          <w:tcPr>
            <w:tcW w:type="dxa" w:w="1602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10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260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260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548"/>
        </w:trPr>
        <w:tc>
          <w:tcPr>
            <w:tcW w:type="dxa" w:w="1504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4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  <w:tc>
          <w:tcPr>
            <w:tcW w:type="dxa" w:w="124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</w:tr>
      <w:tr>
        <w:trPr>
          <w:trHeight w:hRule="exact" w:val="278"/>
        </w:trPr>
        <w:tc>
          <w:tcPr>
            <w:tcW w:type="dxa" w:w="16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3,38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3,38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278"/>
        </w:trPr>
        <w:tc>
          <w:tcPr>
            <w:tcW w:type="dxa" w:w="160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20 </w:t>
            </w:r>
          </w:p>
        </w:tc>
        <w:tc>
          <w:tcPr>
            <w:tcW w:type="dxa" w:w="10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5,71 </w:t>
            </w:r>
          </w:p>
        </w:tc>
        <w:tc>
          <w:tcPr>
            <w:tcW w:type="dxa" w:w="1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23,32 </w:t>
            </w:r>
          </w:p>
        </w:tc>
        <w:tc>
          <w:tcPr>
            <w:tcW w:type="dxa" w:w="1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5,71 </w:t>
            </w:r>
          </w:p>
        </w:tc>
        <w:tc>
          <w:tcPr>
            <w:tcW w:type="dxa" w:w="1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23,32 </w:t>
            </w:r>
          </w:p>
        </w:tc>
      </w:tr>
      <w:tr>
        <w:trPr>
          <w:trHeight w:hRule="exact" w:val="278"/>
        </w:trPr>
        <w:tc>
          <w:tcPr>
            <w:tcW w:type="dxa" w:w="16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a 30 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8,06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70,44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8,06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70,44 </w:t>
            </w:r>
          </w:p>
        </w:tc>
      </w:tr>
      <w:tr>
        <w:trPr>
          <w:trHeight w:hRule="exact" w:val="278"/>
        </w:trPr>
        <w:tc>
          <w:tcPr>
            <w:tcW w:type="dxa" w:w="16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40 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10,99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158,05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10,99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158,05 </w:t>
            </w:r>
          </w:p>
        </w:tc>
      </w:tr>
      <w:tr>
        <w:trPr>
          <w:trHeight w:hRule="exact" w:val="282"/>
        </w:trPr>
        <w:tc>
          <w:tcPr>
            <w:tcW w:type="dxa" w:w="16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a 50 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12,32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211,44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12,32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211,44 </w:t>
            </w:r>
          </w:p>
        </w:tc>
      </w:tr>
      <w:tr>
        <w:trPr>
          <w:trHeight w:hRule="exact" w:val="278"/>
        </w:trPr>
        <w:tc>
          <w:tcPr>
            <w:tcW w:type="dxa" w:w="160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a 100 </w:t>
            </w:r>
          </w:p>
        </w:tc>
        <w:tc>
          <w:tcPr>
            <w:tcW w:type="dxa" w:w="10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14,41 </w:t>
            </w:r>
          </w:p>
        </w:tc>
        <w:tc>
          <w:tcPr>
            <w:tcW w:type="dxa" w:w="1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316,01 </w:t>
            </w:r>
          </w:p>
        </w:tc>
        <w:tc>
          <w:tcPr>
            <w:tcW w:type="dxa" w:w="1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14,41 </w:t>
            </w:r>
          </w:p>
        </w:tc>
        <w:tc>
          <w:tcPr>
            <w:tcW w:type="dxa" w:w="1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316,01 </w:t>
            </w:r>
          </w:p>
        </w:tc>
      </w:tr>
      <w:tr>
        <w:trPr>
          <w:trHeight w:hRule="exact" w:val="280"/>
        </w:trPr>
        <w:tc>
          <w:tcPr>
            <w:tcW w:type="dxa" w:w="16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 a 200 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17,19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594,18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17,19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594,18 </w:t>
            </w:r>
          </w:p>
        </w:tc>
      </w:tr>
      <w:tr>
        <w:trPr>
          <w:trHeight w:hRule="exact" w:val="278"/>
        </w:trPr>
        <w:tc>
          <w:tcPr>
            <w:tcW w:type="dxa" w:w="16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201 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20,29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1.213,09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20,29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1.213,09 </w:t>
            </w:r>
          </w:p>
        </w:tc>
      </w:tr>
    </w:tbl>
    <w:p>
      <w:pPr>
        <w:autoSpaceDN w:val="0"/>
        <w:autoSpaceDE w:val="0"/>
        <w:widowControl/>
        <w:spacing w:line="6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2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83 – 11/03/2015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4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-10160</wp:posOffset>
            </wp:positionH>
            <wp:positionV relativeFrom="page">
              <wp:posOffset>10001250</wp:posOffset>
            </wp:positionV>
            <wp:extent cx="7564119" cy="685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411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5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76"/>
        </w:trPr>
        <w:tc>
          <w:tcPr>
            <w:tcW w:type="dxa" w:w="7808"/>
            <w:gridSpan w:val="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MUNICIPAL </w:t>
            </w:r>
          </w:p>
        </w:tc>
      </w:tr>
      <w:tr>
        <w:trPr>
          <w:trHeight w:hRule="exact" w:val="280"/>
        </w:trPr>
        <w:tc>
          <w:tcPr>
            <w:tcW w:type="dxa" w:w="1602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10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260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260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546"/>
        </w:trPr>
        <w:tc>
          <w:tcPr>
            <w:tcW w:type="dxa" w:w="1504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  <w:tc>
          <w:tcPr>
            <w:tcW w:type="dxa" w:w="1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</w:tr>
      <w:tr>
        <w:trPr>
          <w:trHeight w:hRule="exact" w:val="280"/>
        </w:trPr>
        <w:tc>
          <w:tcPr>
            <w:tcW w:type="dxa" w:w="16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0,57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0,57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278"/>
        </w:trPr>
        <w:tc>
          <w:tcPr>
            <w:tcW w:type="dxa" w:w="16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20 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1,03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4,56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1,03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4,56 </w:t>
            </w:r>
          </w:p>
        </w:tc>
      </w:tr>
      <w:tr>
        <w:trPr>
          <w:trHeight w:hRule="exact" w:val="280"/>
        </w:trPr>
        <w:tc>
          <w:tcPr>
            <w:tcW w:type="dxa" w:w="160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a 30 </w:t>
            </w:r>
          </w:p>
        </w:tc>
        <w:tc>
          <w:tcPr>
            <w:tcW w:type="dxa" w:w="10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1,50 </w:t>
            </w:r>
          </w:p>
        </w:tc>
        <w:tc>
          <w:tcPr>
            <w:tcW w:type="dxa" w:w="13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14,01 </w:t>
            </w:r>
          </w:p>
        </w:tc>
        <w:tc>
          <w:tcPr>
            <w:tcW w:type="dxa" w:w="12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1,50 </w:t>
            </w:r>
          </w:p>
        </w:tc>
        <w:tc>
          <w:tcPr>
            <w:tcW w:type="dxa" w:w="13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14,01 </w:t>
            </w:r>
          </w:p>
        </w:tc>
      </w:tr>
      <w:tr>
        <w:trPr>
          <w:trHeight w:hRule="exact" w:val="278"/>
        </w:trPr>
        <w:tc>
          <w:tcPr>
            <w:tcW w:type="dxa" w:w="16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40 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1,88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25,36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1,88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25,36 </w:t>
            </w:r>
          </w:p>
        </w:tc>
      </w:tr>
      <w:tr>
        <w:trPr>
          <w:trHeight w:hRule="exact" w:val="276"/>
        </w:trPr>
        <w:tc>
          <w:tcPr>
            <w:tcW w:type="dxa" w:w="16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a 50 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38,27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38,27 </w:t>
            </w:r>
          </w:p>
        </w:tc>
      </w:tr>
      <w:tr>
        <w:trPr>
          <w:trHeight w:hRule="exact" w:val="278"/>
        </w:trPr>
        <w:tc>
          <w:tcPr>
            <w:tcW w:type="dxa" w:w="16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a 100 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58,34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58,34 </w:t>
            </w:r>
          </w:p>
        </w:tc>
      </w:tr>
      <w:tr>
        <w:trPr>
          <w:trHeight w:hRule="exact" w:val="282"/>
        </w:trPr>
        <w:tc>
          <w:tcPr>
            <w:tcW w:type="dxa" w:w="16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 a 200 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108,03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3,10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108,03 </w:t>
            </w:r>
          </w:p>
        </w:tc>
      </w:tr>
      <w:tr>
        <w:trPr>
          <w:trHeight w:hRule="exact" w:val="280"/>
        </w:trPr>
        <w:tc>
          <w:tcPr>
            <w:tcW w:type="dxa" w:w="16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201 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3,69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226,40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3,69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226,40 </w:t>
            </w:r>
          </w:p>
        </w:tc>
      </w:tr>
    </w:tbl>
    <w:p>
      <w:pPr>
        <w:autoSpaceDN w:val="0"/>
        <w:autoSpaceDE w:val="0"/>
        <w:widowControl/>
        <w:spacing w:line="2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5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78"/>
        </w:trPr>
        <w:tc>
          <w:tcPr>
            <w:tcW w:type="dxa" w:w="7808"/>
            <w:gridSpan w:val="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MISTA </w:t>
            </w:r>
          </w:p>
        </w:tc>
      </w:tr>
      <w:tr>
        <w:trPr>
          <w:trHeight w:hRule="exact" w:val="278"/>
        </w:trPr>
        <w:tc>
          <w:tcPr>
            <w:tcW w:type="dxa" w:w="1602"/>
            <w:vMerge w:val="restart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1004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260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2600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546"/>
        </w:trPr>
        <w:tc>
          <w:tcPr>
            <w:tcW w:type="dxa" w:w="1504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04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</w:tr>
      <w:tr>
        <w:trPr>
          <w:trHeight w:hRule="exact" w:val="280"/>
        </w:trPr>
        <w:tc>
          <w:tcPr>
            <w:tcW w:type="dxa" w:w="16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2,08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2,08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280"/>
        </w:trPr>
        <w:tc>
          <w:tcPr>
            <w:tcW w:type="dxa" w:w="160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20 </w:t>
            </w:r>
          </w:p>
        </w:tc>
        <w:tc>
          <w:tcPr>
            <w:tcW w:type="dxa" w:w="10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3,75 </w:t>
            </w:r>
          </w:p>
        </w:tc>
        <w:tc>
          <w:tcPr>
            <w:tcW w:type="dxa" w:w="13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16,66 </w:t>
            </w:r>
          </w:p>
        </w:tc>
        <w:tc>
          <w:tcPr>
            <w:tcW w:type="dxa" w:w="12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3,75 </w:t>
            </w:r>
          </w:p>
        </w:tc>
        <w:tc>
          <w:tcPr>
            <w:tcW w:type="dxa" w:w="13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16,66 </w:t>
            </w:r>
          </w:p>
        </w:tc>
      </w:tr>
      <w:tr>
        <w:trPr>
          <w:trHeight w:hRule="exact" w:val="276"/>
        </w:trPr>
        <w:tc>
          <w:tcPr>
            <w:tcW w:type="dxa" w:w="16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a 30 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5,43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50,37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5,43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50,37 </w:t>
            </w:r>
          </w:p>
        </w:tc>
      </w:tr>
      <w:tr>
        <w:trPr>
          <w:trHeight w:hRule="exact" w:val="278"/>
        </w:trPr>
        <w:tc>
          <w:tcPr>
            <w:tcW w:type="dxa" w:w="16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40 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6,91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94,54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6,91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94,54 </w:t>
            </w:r>
          </w:p>
        </w:tc>
      </w:tr>
      <w:tr>
        <w:trPr>
          <w:trHeight w:hRule="exact" w:val="280"/>
        </w:trPr>
        <w:tc>
          <w:tcPr>
            <w:tcW w:type="dxa" w:w="16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a 50 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8,14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143,72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8,14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143,72 </w:t>
            </w:r>
          </w:p>
        </w:tc>
      </w:tr>
      <w:tr>
        <w:trPr>
          <w:trHeight w:hRule="exact" w:val="278"/>
        </w:trPr>
        <w:tc>
          <w:tcPr>
            <w:tcW w:type="dxa" w:w="160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a 100 </w:t>
            </w:r>
          </w:p>
        </w:tc>
        <w:tc>
          <w:tcPr>
            <w:tcW w:type="dxa" w:w="100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9,66 </w:t>
            </w:r>
          </w:p>
        </w:tc>
        <w:tc>
          <w:tcPr>
            <w:tcW w:type="dxa" w:w="136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219,67 </w:t>
            </w:r>
          </w:p>
        </w:tc>
        <w:tc>
          <w:tcPr>
            <w:tcW w:type="dxa" w:w="124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9,66 </w:t>
            </w:r>
          </w:p>
        </w:tc>
        <w:tc>
          <w:tcPr>
            <w:tcW w:type="dxa" w:w="136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219,67 </w:t>
            </w:r>
          </w:p>
        </w:tc>
      </w:tr>
      <w:tr>
        <w:trPr>
          <w:trHeight w:hRule="exact" w:val="278"/>
        </w:trPr>
        <w:tc>
          <w:tcPr>
            <w:tcW w:type="dxa" w:w="160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 a 200 </w:t>
            </w:r>
          </w:p>
        </w:tc>
        <w:tc>
          <w:tcPr>
            <w:tcW w:type="dxa" w:w="10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11,47 </w:t>
            </w:r>
          </w:p>
        </w:tc>
        <w:tc>
          <w:tcPr>
            <w:tcW w:type="dxa" w:w="1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401,25 </w:t>
            </w:r>
          </w:p>
        </w:tc>
        <w:tc>
          <w:tcPr>
            <w:tcW w:type="dxa" w:w="1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11,47 </w:t>
            </w:r>
          </w:p>
        </w:tc>
        <w:tc>
          <w:tcPr>
            <w:tcW w:type="dxa" w:w="1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401,25 </w:t>
            </w:r>
          </w:p>
        </w:tc>
      </w:tr>
      <w:tr>
        <w:trPr>
          <w:trHeight w:hRule="exact" w:val="280"/>
        </w:trPr>
        <w:tc>
          <w:tcPr>
            <w:tcW w:type="dxa" w:w="16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201 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13,63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832,72 </w:t>
            </w:r>
          </w:p>
        </w:tc>
        <w:tc>
          <w:tcPr>
            <w:tcW w:type="dxa" w:w="1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13,63 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832,72 </w:t>
            </w:r>
          </w:p>
        </w:tc>
      </w:tr>
    </w:tbl>
    <w:p>
      <w:pPr>
        <w:autoSpaceDN w:val="0"/>
        <w:autoSpaceDE w:val="0"/>
        <w:widowControl/>
        <w:spacing w:line="4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50.0" w:type="dxa"/>
      </w:tblPr>
      <w:tblGrid>
        <w:gridCol w:w="9026"/>
      </w:tblGrid>
      <w:tr>
        <w:trPr>
          <w:trHeight w:hRule="exact" w:val="1088"/>
        </w:trPr>
        <w:tc>
          <w:tcPr>
            <w:tcW w:type="dxa" w:w="780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NOTA: A tarifa para retirada de água por carro tanque será de R$ 18,45/m³ (dezoito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reais e quarenta e cinco centavos por metro cúbico), mediante preenchimento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declaração de que o volume adquirido não irá gerar esgotos. Caso contrário, esse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 será acrescido de 100% (cem por cento) sobre o valor cobrado. </w:t>
            </w:r>
          </w:p>
        </w:tc>
      </w:tr>
    </w:tbl>
    <w:p>
      <w:pPr>
        <w:autoSpaceDN w:val="0"/>
        <w:autoSpaceDE w:val="0"/>
        <w:widowControl/>
        <w:spacing w:line="46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2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83 – 11/03/2015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4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-10160</wp:posOffset>
            </wp:positionH>
            <wp:positionV relativeFrom="page">
              <wp:posOffset>10001250</wp:posOffset>
            </wp:positionV>
            <wp:extent cx="7564119" cy="6858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411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