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560309" cy="106978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7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85, DE 30 DE ABRIL DE 2015.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(TRA), da Tarifa Referencial do Esgoto (TRE)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tarifas dos demais serviços prestados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empresa Odebrecht Ambiental Limeira S/A,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Limeira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para a empresa Odebrecht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S/A.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fiscalização da qualidade da prestação dos serviços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DIR 022/2015, de 20 de março de 2015 e sua complementação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Ofício DIR 027/2015, de 08 de abril de 2015, a Odebrecht Ambiental – Limeira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nos valores das Tarifas Referencial de Água (TRA) e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para reposição das perdas inflacionárias com base na fórmula paramétrica definida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Oitavo Termo de Aditamento ao Contrato (datado de 18 de janeiro de 2007),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18/2015-CRO,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 (Resolução ARES-PCJ nº 20, de 08 de abril de 2013) 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prazos e premissas definidas pela ARES-PCJ (Resolução ARES-PCJ nº 70,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2014), 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9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85 – 30/04/2015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116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560309" cy="106978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7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Limeira, reunido em 28 de abril de 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tomou ciência do conteúdo do Parecer Consolidado nº 18/2015 da ARES-PCJ e;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 Diretoria Executiva da ARES-PCJ, reunida extraordinariamente em 30 de abril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2015, decidiu pela emissão dessa resolução específica, visando fixar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Referenciais de Água e Esgoto (TRA e TRE) e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Odebrecht Ambiental.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(TRE), praticados pela empresa Odebrecht Ambiental Limeira S/A, em 20,27% (vinte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vinte e sete centésimos por cento), passando dos atuais R$ 2,83 (dois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três centavos), para R$ 3,40 (três reais e quarenta centavos).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as Tarifas de Água e Esgoto,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consumo, conforme Tabela 1,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que acumula nos últimos 12 meses, 7,90% (sete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passando a ser remunerados conforme Tabela 2,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parcela relativa ao Grau Poluente do Efluente, conforme Tabela 3,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deverão ser divulgados no Diário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de Limeira, em atendimento ao art. 39,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 nas contas/faturas a partir do mês de junho de 2015.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85 – 30/04/2015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115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560309" cy="106978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7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85, DE 30 DE ABRIL DE 2015.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.99999999999983" w:type="dxa"/>
      </w:tblPr>
      <w:tblGrid>
        <w:gridCol w:w="2268"/>
        <w:gridCol w:w="2268"/>
        <w:gridCol w:w="2268"/>
        <w:gridCol w:w="2268"/>
      </w:tblGrid>
      <w:tr>
        <w:trPr>
          <w:trHeight w:hRule="exact" w:val="602"/>
        </w:trPr>
        <w:tc>
          <w:tcPr>
            <w:tcW w:type="dxa" w:w="25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DE USO </w:t>
            </w:r>
          </w:p>
        </w:tc>
        <w:tc>
          <w:tcPr>
            <w:tcW w:type="dxa" w:w="269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(m³/mês economia) </w:t>
            </w:r>
          </w:p>
        </w:tc>
        <w:tc>
          <w:tcPr>
            <w:tcW w:type="dxa" w:w="330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</w:t>
            </w:r>
          </w:p>
        </w:tc>
      </w:tr>
      <w:tr>
        <w:trPr>
          <w:trHeight w:hRule="exact" w:val="594"/>
        </w:trPr>
        <w:tc>
          <w:tcPr>
            <w:tcW w:type="dxa" w:w="226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26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</w:tr>
      <w:tr>
        <w:trPr>
          <w:trHeight w:hRule="exact" w:val="302"/>
        </w:trPr>
        <w:tc>
          <w:tcPr>
            <w:tcW w:type="dxa" w:w="252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RESIDENCIAL</w:t>
            </w:r>
          </w:p>
        </w:tc>
        <w:tc>
          <w:tcPr>
            <w:tcW w:type="dxa" w:w="2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74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00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06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0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5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POPULAR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</w:tr>
      <w:tr>
        <w:trPr>
          <w:trHeight w:hRule="exact" w:val="306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</w:tr>
      <w:tr>
        <w:trPr>
          <w:trHeight w:hRule="exact" w:val="300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4"/>
        </w:trPr>
        <w:tc>
          <w:tcPr>
            <w:tcW w:type="dxa" w:w="252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2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7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11,90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15,30 </w:t>
            </w:r>
          </w:p>
        </w:tc>
      </w:tr>
      <w:tr>
        <w:trPr>
          <w:trHeight w:hRule="exact" w:val="304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</w:tr>
      <w:tr>
        <w:trPr>
          <w:trHeight w:hRule="exact" w:val="302"/>
        </w:trPr>
        <w:tc>
          <w:tcPr>
            <w:tcW w:type="dxa" w:w="25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04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02"/>
        </w:trPr>
        <w:tc>
          <w:tcPr>
            <w:tcW w:type="dxa" w:w="226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10,20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10,20 </w:t>
            </w:r>
          </w:p>
        </w:tc>
      </w:tr>
    </w:tbl>
    <w:p>
      <w:pPr>
        <w:autoSpaceDN w:val="0"/>
        <w:tabs>
          <w:tab w:pos="8934" w:val="left"/>
        </w:tabs>
        <w:autoSpaceDE w:val="0"/>
        <w:widowControl/>
        <w:spacing w:line="197" w:lineRule="auto" w:before="5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85 – 30/04/2015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1162" w:right="141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560309" cy="106978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7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85, DE 30 DE ABRIL DE 2015.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Junho/2015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024"/>
        <w:gridCol w:w="3024"/>
        <w:gridCol w:w="3024"/>
      </w:tblGrid>
      <w:tr>
        <w:trPr>
          <w:trHeight w:hRule="exact" w:val="44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Conserto de cavalete ¾”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57,74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Substituição de hidrômetro de ¾" danificado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115,05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Conserto de ligação de água de ¾"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135,66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Conserto de ligação de esgoto de 4"danificada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296,86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Religação de água no cavalete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107,45 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Religação de água na ligação ou por outros meios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169,43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Supressão da ligação de água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228,23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Vistoria Domiciliar até duas economias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51,91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Ligação de água de ¾”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412,30 </w:t>
            </w:r>
          </w:p>
        </w:tc>
      </w:tr>
      <w:tr>
        <w:trPr>
          <w:trHeight w:hRule="exact" w:val="59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de ¾” ou remanejamento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218,93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511,61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47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82,47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259,95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51,91 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77,93 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inferior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165,07 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superior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640,50 </w:t>
            </w:r>
          </w:p>
        </w:tc>
      </w:tr>
      <w:tr>
        <w:trPr>
          <w:trHeight w:hRule="exact" w:val="59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20" w:right="0" w:firstLine="4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  <w:tr>
        <w:trPr>
          <w:trHeight w:hRule="exact" w:val="6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20" w:right="0" w:firstLine="42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</w:tbl>
    <w:p>
      <w:pPr>
        <w:autoSpaceDN w:val="0"/>
        <w:tabs>
          <w:tab w:pos="8934" w:val="left"/>
        </w:tabs>
        <w:autoSpaceDE w:val="0"/>
        <w:widowControl/>
        <w:spacing w:line="197" w:lineRule="auto" w:before="29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85 – 30/04/2015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1162" w:right="141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560309" cy="106978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7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85, DE 30 DE ABRIL DE 2015.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Efluente, em R$/kg – Junho/2015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9072"/>
      </w:tblGrid>
      <w:tr>
        <w:trPr>
          <w:trHeight w:hRule="exact" w:val="59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 A + B + C) </w:t>
            </w:r>
          </w:p>
        </w:tc>
      </w:tr>
      <w:tr>
        <w:trPr>
          <w:trHeight w:hRule="exact" w:val="59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94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R$ 3,40 </w:t>
            </w:r>
          </w:p>
        </w:tc>
      </w:tr>
      <w:tr>
        <w:trPr>
          <w:trHeight w:hRule="exact" w:val="59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R$ 3,40 </w:t>
            </w:r>
          </w:p>
        </w:tc>
      </w:tr>
      <w:tr>
        <w:trPr>
          <w:trHeight w:hRule="exact" w:val="600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TRE 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8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6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0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Tarifa Referencial de Esgoto dada em R$/Kg. </w:t>
      </w:r>
    </w:p>
    <w:p>
      <w:pPr>
        <w:autoSpaceDN w:val="0"/>
        <w:autoSpaceDE w:val="0"/>
        <w:widowControl/>
        <w:spacing w:line="245" w:lineRule="auto" w:before="54" w:after="0"/>
        <w:ind w:left="0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8934" w:val="left"/>
        </w:tabs>
        <w:autoSpaceDE w:val="0"/>
        <w:widowControl/>
        <w:spacing w:line="197" w:lineRule="auto" w:before="35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85 – 30/04/2015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38"/>
      <w:pgMar w:top="1162" w:right="1416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