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88, DE 18 DE JUNHO DE 2015 </w:t>
      </w:r>
    </w:p>
    <w:p>
      <w:pPr>
        <w:autoSpaceDN w:val="0"/>
        <w:autoSpaceDE w:val="0"/>
        <w:widowControl/>
        <w:spacing w:line="245" w:lineRule="auto" w:before="642" w:after="0"/>
        <w:ind w:left="5530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pelo SAAE – Mogi Mirim,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Mogi Mirim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5.225, de 15/12/2011,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Mogi Mirim, em conformidade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PCJ, através do Ofício SAAE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088/2015, documentação relativa ao reajuste dos valores das Tarifas de Água e Esgoto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e demais Preços Públicos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23/2015 -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ser necessário o reajuste,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Audiência Pública para exposição do parecer consolidado no dia 10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2015, às 19h, no Plenário da Câmara Municipal de Vereadores e posterior reunião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Conselho de Regulação e Controle Social do Município de Mogi Mirim, no dia 15 de junho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2015, às 15h, na sede do SAAE, para análise e aprovação do conteúdo do citado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23/2015-CRO, bem como o índice de reajuste de 17,67% (dezessete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sete centésimos por cento) nas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pelo SAAE – Mogi Mirim.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os membros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Agência Reguladora PCJ (ARES-PCJ), reunidos em 18 de junho de 2015,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5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88 – 18/06/2015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decidiram pela emissão de Resolução específica, visando fixar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demais Preços Públicos do Município de Mogi Mirim, para tanto: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Tratada e Esgotamento Sanitário praticadas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Mirim, em 17,67% (dezessete inteiros e sessenta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partir do mês de julho de 2015, em todas as faixas e categorias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Tabela 1,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reajuste dos Preços Públicos dos demais serviços prestados pelo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em 17,67% (dezessete inteiros e sessenta e sete centésimos por cento),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julho de 2015, conforme Tabela 2, 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dos Preços Público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pelo SAAE – Serviço Autônomo de Água e Esgotos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são 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à população, o SAAE - Serviço Autônomo Municipal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Mogi Mirim, fixará a tabela com os novos valores das Tarifas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por categoria e por faixas de consumo,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por item material ou serviço, em local de fácil acesso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 do público em geral e em 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 SAAE – Serviço Autônomo de Água e Esgotos de Mogi Mirim, dará publicidade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novas Tarifas de Água e Esgoto e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Mogi Mirim e do SAAE Mogi Mirim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local, informando o percentual e a data de início dos reajustes tarifários fixados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estabelecidos nesta Resolução, somente poderão ser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Mirim, após 30 (trinta) dias da publicação desta Resolução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Mirim, conforme determina o art. 39,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aplicados nas Contas/Faturas, referentes às leituras e medições realizadas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 de julho de 2015.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88 – 18/06/2015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88, DE 18 DE JUNHO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JULHO/2015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4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</w:t>
            </w:r>
          </w:p>
        </w:tc>
      </w:tr>
      <w:tr>
        <w:trPr>
          <w:trHeight w:hRule="exact" w:val="49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13,14 </w:t>
            </w:r>
          </w:p>
        </w:tc>
        <w:tc>
          <w:tcPr>
            <w:tcW w:type="dxa" w:w="12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13,14 </w:t>
            </w:r>
          </w:p>
        </w:tc>
        <w:tc>
          <w:tcPr>
            <w:tcW w:type="dxa" w:w="12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12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26,94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2,65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12,09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12,19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14,18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15,52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16,97 </w:t>
            </w:r>
          </w:p>
        </w:tc>
      </w:tr>
    </w:tbl>
    <w:p>
      <w:pPr>
        <w:autoSpaceDN w:val="0"/>
        <w:autoSpaceDE w:val="0"/>
        <w:widowControl/>
        <w:spacing w:line="7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6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COMÉRCIO / PÚBLICA </w:t>
            </w:r>
          </w:p>
        </w:tc>
      </w:tr>
      <w:tr>
        <w:trPr>
          <w:trHeight w:hRule="exact" w:val="498"/>
        </w:trPr>
        <w:tc>
          <w:tcPr>
            <w:tcW w:type="dxa" w:w="20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70,77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0,18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7,08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14,18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15,52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18,43 </w:t>
            </w:r>
          </w:p>
        </w:tc>
      </w:tr>
      <w:tr>
        <w:trPr>
          <w:trHeight w:hRule="exact" w:val="25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19,84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21,26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22,71 </w:t>
            </w:r>
          </w:p>
        </w:tc>
      </w:tr>
    </w:tbl>
    <w:p>
      <w:pPr>
        <w:autoSpaceDN w:val="0"/>
        <w:autoSpaceDE w:val="0"/>
        <w:widowControl/>
        <w:spacing w:line="7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2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INDÚSTRIA </w:t>
            </w:r>
          </w:p>
        </w:tc>
      </w:tr>
      <w:tr>
        <w:trPr>
          <w:trHeight w:hRule="exact" w:val="498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58,07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58,07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119,05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12,55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13,27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14,06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21,04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22,87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24,70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26,49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250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29,87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251 a 500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16,87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34,59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500 </w:t>
            </w:r>
          </w:p>
        </w:tc>
        <w:tc>
          <w:tcPr>
            <w:tcW w:type="dxa" w:w="8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19,36 </w:t>
            </w:r>
          </w:p>
        </w:tc>
        <w:tc>
          <w:tcPr>
            <w:tcW w:type="dxa" w:w="12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19,36 </w:t>
            </w:r>
          </w:p>
        </w:tc>
        <w:tc>
          <w:tcPr>
            <w:tcW w:type="dxa" w:w="12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39,68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88 – 18/06/2015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27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4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INDÚSTRIA SEMI-TRATADA </w:t>
            </w:r>
          </w:p>
        </w:tc>
      </w:tr>
      <w:tr>
        <w:trPr>
          <w:trHeight w:hRule="exact" w:val="50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58,07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58,07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119,05 </w:t>
            </w:r>
          </w:p>
        </w:tc>
      </w:tr>
      <w:tr>
        <w:trPr>
          <w:trHeight w:hRule="exact" w:val="25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12,35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13,02 </w:t>
            </w:r>
          </w:p>
        </w:tc>
      </w:tr>
      <w:tr>
        <w:trPr>
          <w:trHeight w:hRule="exact" w:val="258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13,69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20,87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22,63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24,36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26,24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250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14,38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29,48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251 a 500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34,24 </w:t>
            </w:r>
          </w:p>
        </w:tc>
      </w:tr>
      <w:tr>
        <w:trPr>
          <w:trHeight w:hRule="exact" w:val="25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19,18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39,32 </w:t>
            </w:r>
          </w:p>
        </w:tc>
      </w:tr>
    </w:tbl>
    <w:p>
      <w:pPr>
        <w:autoSpaceDN w:val="0"/>
        <w:autoSpaceDE w:val="0"/>
        <w:widowControl/>
        <w:spacing w:line="7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4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MISTA RESIDÊNCIA/COMÉRCIO </w:t>
            </w:r>
          </w:p>
        </w:tc>
      </w:tr>
      <w:tr>
        <w:trPr>
          <w:trHeight w:hRule="exact" w:val="49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29,66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2,95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14,18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15,52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8,99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18,43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19,84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21,26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11,08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22,71 </w:t>
            </w:r>
          </w:p>
        </w:tc>
      </w:tr>
    </w:tbl>
    <w:p>
      <w:pPr>
        <w:autoSpaceDN w:val="0"/>
        <w:autoSpaceDE w:val="0"/>
        <w:widowControl/>
        <w:spacing w:line="7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6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MISTA COMÉRCIO/INDÚSTRIA </w:t>
            </w:r>
          </w:p>
        </w:tc>
      </w:tr>
      <w:tr>
        <w:trPr>
          <w:trHeight w:hRule="exact" w:val="49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37,98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37,98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77,85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0,19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7,75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14,06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21,04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22,87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24,70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2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2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26,49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29,87 </w:t>
            </w:r>
          </w:p>
        </w:tc>
      </w:tr>
    </w:tbl>
    <w:p>
      <w:pPr>
        <w:autoSpaceDN w:val="0"/>
        <w:autoSpaceDE w:val="0"/>
        <w:widowControl/>
        <w:spacing w:line="1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88 – 18/06/2015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27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4"/>
        </w:trPr>
        <w:tc>
          <w:tcPr>
            <w:tcW w:type="dxa" w:w="7762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MISTA RESIDENCIA/INDÚSTRIA </w:t>
            </w:r>
          </w:p>
        </w:tc>
      </w:tr>
      <w:tr>
        <w:trPr>
          <w:trHeight w:hRule="exact" w:val="50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14,47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29,66 </w:t>
            </w:r>
          </w:p>
        </w:tc>
      </w:tr>
      <w:tr>
        <w:trPr>
          <w:trHeight w:hRule="exact" w:val="25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1,44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2,95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13,27 </w:t>
            </w:r>
          </w:p>
        </w:tc>
      </w:tr>
      <w:tr>
        <w:trPr>
          <w:trHeight w:hRule="exact" w:val="258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6,86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14,06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21,04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0,55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22,87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24,70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26,49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0,73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29,87 </w:t>
            </w:r>
          </w:p>
        </w:tc>
      </w:tr>
    </w:tbl>
    <w:p>
      <w:pPr>
        <w:autoSpaceDN w:val="0"/>
        <w:autoSpaceDE w:val="0"/>
        <w:widowControl/>
        <w:spacing w:line="7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4"/>
        </w:trPr>
        <w:tc>
          <w:tcPr>
            <w:tcW w:type="dxa" w:w="7762"/>
            <w:gridSpan w:val="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500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TCTE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3,97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3,97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0,20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0,66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0,04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1,36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9,04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5,95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12,19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6,21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12,73 </w:t>
            </w:r>
          </w:p>
        </w:tc>
      </w:tr>
      <w:tr>
        <w:trPr>
          <w:trHeight w:hRule="exact" w:val="256"/>
        </w:trPr>
        <w:tc>
          <w:tcPr>
            <w:tcW w:type="dxa" w:w="20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6,52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0,33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13,37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75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6,92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14,18 </w:t>
            </w:r>
          </w:p>
        </w:tc>
      </w:tr>
      <w:tr>
        <w:trPr>
          <w:trHeight w:hRule="exact" w:val="254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76 a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7,57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15,52 </w:t>
            </w:r>
          </w:p>
        </w:tc>
      </w:tr>
      <w:tr>
        <w:trPr>
          <w:trHeight w:hRule="exact" w:val="252"/>
        </w:trPr>
        <w:tc>
          <w:tcPr>
            <w:tcW w:type="dxa" w:w="20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100 </w:t>
            </w:r>
          </w:p>
        </w:tc>
        <w:tc>
          <w:tcPr>
            <w:tcW w:type="dxa" w:w="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16,97 </w:t>
            </w:r>
          </w:p>
        </w:tc>
      </w:tr>
    </w:tbl>
    <w:p>
      <w:pPr>
        <w:autoSpaceDN w:val="0"/>
        <w:autoSpaceDE w:val="0"/>
        <w:widowControl/>
        <w:spacing w:line="245" w:lineRule="auto" w:before="758" w:after="0"/>
        <w:ind w:left="214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Nota: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(1) O valor da Tarifa de Esgoto corresponde a 100% (cem por cento) do valor da Tarifa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Água. </w:t>
      </w:r>
    </w:p>
    <w:p>
      <w:pPr>
        <w:autoSpaceDN w:val="0"/>
        <w:autoSpaceDE w:val="0"/>
        <w:widowControl/>
        <w:spacing w:line="245" w:lineRule="auto" w:before="46" w:after="0"/>
        <w:ind w:left="2144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(2) A TCTE - Tarifa Complementar de Tratamento de Esgoto é de 5% (cinco por cento) sobre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Esgoto. </w:t>
      </w:r>
    </w:p>
    <w:p>
      <w:pPr>
        <w:autoSpaceDN w:val="0"/>
        <w:tabs>
          <w:tab w:pos="10352" w:val="left"/>
        </w:tabs>
        <w:autoSpaceDE w:val="0"/>
        <w:widowControl/>
        <w:spacing w:line="197" w:lineRule="auto" w:before="37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88 – 18/06/2015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88, DE 18 DE JUNHO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TARIFAS DE SERVIÇOS - A PARTIR JULHO/2015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Água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ligação de água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94,05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184,62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277,32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desligamento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no cavalete a pedido do usuário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48,17 </w:t>
            </w:r>
          </w:p>
        </w:tc>
      </w:tr>
      <w:tr>
        <w:trPr>
          <w:trHeight w:hRule="exact" w:val="296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no ramal a pedido do usuário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170,57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no cavalete a pedido do usuário com retirada de hidrômetro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91,31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religação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por falta de pagamento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48,17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ramal por falta de pagamento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170,57 </w:t>
            </w:r>
          </w:p>
        </w:tc>
      </w:tr>
      <w:tr>
        <w:trPr>
          <w:trHeight w:hRule="exact" w:val="290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por pedido do usuário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48,17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ramal por pedido do usuário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170,57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Decorrente de corte no cavalete por ped. do usuário com coloc. de hidrômetro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91,31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aferição de hidrômetro de até 1"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32,10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água 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10,13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Valor por km do transporte (ida/volta)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6,99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mudança de cavalete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94,05 </w:t>
            </w:r>
          </w:p>
        </w:tc>
      </w:tr>
      <w:tr>
        <w:trPr>
          <w:trHeight w:hRule="exact" w:val="296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184,62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277,32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ligação corretiva ramal de água ou esgoto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94,05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184,62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277,32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lig. provisória e cons. mín. de 15 dias (parques, circos, eventos)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1.010,37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regularização de cavalete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cavalete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47,03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Rebaixamento de cavalete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47,03 </w:t>
            </w:r>
          </w:p>
        </w:tc>
      </w:tr>
      <w:tr>
        <w:trPr>
          <w:trHeight w:hRule="exact" w:val="296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Giro de cavalete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47,03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Levantamento de cavalete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47,03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Instalação de ventosa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47,03 </w:t>
            </w:r>
          </w:p>
        </w:tc>
      </w:tr>
    </w:tbl>
    <w:p>
      <w:pPr>
        <w:autoSpaceDN w:val="0"/>
        <w:autoSpaceDE w:val="0"/>
        <w:widowControl/>
        <w:spacing w:line="1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88 – 18/06/2015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Esgoto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ligação de esgoto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94,05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184,62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277,32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localização de esgoto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94,05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limpeza de fossa por viagem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172,35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instalação de válvula de retenção de esgoto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47,03 </w:t>
            </w:r>
          </w:p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Tarifas - Diversas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apreciação de projeto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Até 70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290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70m² por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1,85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Substituição de projeto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1,39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Desmembramento por lote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18,54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Englobamento por lote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17,58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por lote pré-aprovação GRAPOHAB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16,06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por lote pós-aprovação GRAPOHAB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16,06 </w:t>
            </w:r>
          </w:p>
        </w:tc>
      </w:tr>
      <w:tr>
        <w:trPr>
          <w:trHeight w:hRule="exact" w:val="296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fornecimento de habite-se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</w:tr>
      <w:tr>
        <w:trPr>
          <w:trHeight w:hRule="exact" w:val="290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Até 70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70 m² por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0,48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diretrizes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lote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16,33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Por unidade habitacional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16,33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estabelecimento comercial/industrial por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0,08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visita técnica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81,65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visita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reparo de calçada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concreto m²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16,33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pedra portuguesa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40,81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grama (sem fornecimento de grama) m² </w:t>
            </w:r>
          </w:p>
        </w:tc>
        <w:tc>
          <w:tcPr>
            <w:tcW w:type="dxa" w:w="127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Calçada de piso (sem fornecimento do piso)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16,33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para reposição de asfalto m²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125,99 </w:t>
            </w:r>
          </w:p>
        </w:tc>
      </w:tr>
      <w:tr>
        <w:trPr>
          <w:trHeight w:hRule="exact" w:val="290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encaminhamento de conta para endereço diverso do da ligação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12,44 </w:t>
            </w:r>
          </w:p>
        </w:tc>
      </w:tr>
      <w:tr>
        <w:trPr>
          <w:trHeight w:hRule="exact" w:val="294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atestados e certidões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0,00 </w:t>
            </w:r>
          </w:p>
        </w:tc>
      </w:tr>
      <w:tr>
        <w:trPr>
          <w:trHeight w:hRule="exact" w:val="296"/>
        </w:trPr>
        <w:tc>
          <w:tcPr>
            <w:tcW w:type="dxa" w:w="6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Atestados de capacidade técnica e certidões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8,15 </w:t>
            </w:r>
          </w:p>
        </w:tc>
      </w:tr>
      <w:tr>
        <w:trPr>
          <w:trHeight w:hRule="exact" w:val="292"/>
        </w:trPr>
        <w:tc>
          <w:tcPr>
            <w:tcW w:type="dxa" w:w="6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fornecimento de fotocópia de documentos relacionados ao SAAE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0,25 </w:t>
            </w:r>
          </w:p>
        </w:tc>
      </w:tr>
    </w:tbl>
    <w:p>
      <w:pPr>
        <w:autoSpaceDN w:val="0"/>
        <w:autoSpaceDE w:val="0"/>
        <w:widowControl/>
        <w:spacing w:line="2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88 – 18/06/2015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Multas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Valores (R$) </w:t>
            </w:r>
          </w:p>
        </w:tc>
      </w:tr>
      <w:tr>
        <w:trPr>
          <w:trHeight w:hRule="exact" w:val="296"/>
        </w:trPr>
        <w:tc>
          <w:tcPr>
            <w:tcW w:type="dxa" w:w="67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violação de lacre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335,70 </w:t>
            </w:r>
          </w:p>
        </w:tc>
      </w:tr>
      <w:tr>
        <w:trPr>
          <w:trHeight w:hRule="exact" w:val="292"/>
        </w:trPr>
        <w:tc>
          <w:tcPr>
            <w:tcW w:type="dxa" w:w="67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839,05 </w:t>
            </w:r>
          </w:p>
        </w:tc>
      </w:tr>
      <w:tr>
        <w:trPr>
          <w:trHeight w:hRule="exact" w:val="292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1.258,54 </w:t>
            </w:r>
          </w:p>
        </w:tc>
      </w:tr>
      <w:tr>
        <w:trPr>
          <w:trHeight w:hRule="exact" w:val="296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consentir retirada de água do prédio para outros fins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602,02 </w:t>
            </w:r>
          </w:p>
        </w:tc>
      </w:tr>
      <w:tr>
        <w:trPr>
          <w:trHeight w:hRule="exact" w:val="290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ligação de água pluvial na rede de esgotos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1.021,32 </w:t>
            </w:r>
          </w:p>
        </w:tc>
      </w:tr>
      <w:tr>
        <w:trPr>
          <w:trHeight w:hRule="exact" w:val="294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Multa por ligação irregular / Adulteração de hidrômetro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7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7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813,62 </w:t>
            </w:r>
          </w:p>
        </w:tc>
      </w:tr>
      <w:tr>
        <w:trPr>
          <w:trHeight w:hRule="exact" w:val="292"/>
        </w:trPr>
        <w:tc>
          <w:tcPr>
            <w:tcW w:type="dxa" w:w="67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7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2.215,66 </w:t>
            </w:r>
          </w:p>
        </w:tc>
      </w:tr>
      <w:tr>
        <w:trPr>
          <w:trHeight w:hRule="exact" w:val="294"/>
        </w:trPr>
        <w:tc>
          <w:tcPr>
            <w:tcW w:type="dxa" w:w="67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27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3.323,48 </w:t>
            </w:r>
          </w:p>
        </w:tc>
      </w:tr>
    </w:tbl>
    <w:p>
      <w:pPr>
        <w:autoSpaceDN w:val="0"/>
        <w:autoSpaceDE w:val="0"/>
        <w:widowControl/>
        <w:spacing w:line="99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88 – 18/06/2015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10005060</wp:posOffset>
            </wp:positionV>
            <wp:extent cx="7560309" cy="6883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