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89, DE 29 DE JUNHO DE 2015 </w:t>
      </w:r>
    </w:p>
    <w:p>
      <w:pPr>
        <w:autoSpaceDN w:val="0"/>
        <w:autoSpaceDE w:val="0"/>
        <w:widowControl/>
        <w:spacing w:line="245" w:lineRule="auto" w:before="642" w:after="0"/>
        <w:ind w:left="5948" w:right="135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extraordinário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das Tarifas de Água e Esgoto a serem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Piracicaba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638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1410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pelo Decreto nº 7.217, de 21/06/2010 e na Lei Municipal nº 7.371,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09/08/2012, pela qual o Município de Piracicaba ratificou o Protocolo de Intenções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delegou e transferiu o exercício das atividades e funções de regulação e fiscalização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0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Municipal de Água e Esgoto - SEMAE, autarquia municipal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abastecimento público e esgotamento sanitário do Município de Piracicaba,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20, de 08/04/2013, solicitou estudos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extraordinário dos valores das Tarifas de Água e Esgoto a serem praticados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Piracicaba; </w:t>
      </w:r>
    </w:p>
    <w:p>
      <w:pPr>
        <w:autoSpaceDN w:val="0"/>
        <w:autoSpaceDE w:val="0"/>
        <w:widowControl/>
        <w:spacing w:line="245" w:lineRule="auto" w:before="348" w:after="0"/>
        <w:ind w:left="1410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24/2015, concluiu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extraordinário dos valores das Tarifas de Água e Esgoto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- SEMAE de forma escalonada, a fim de recuperar 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da autarquia; </w:t>
      </w:r>
    </w:p>
    <w:p>
      <w:pPr>
        <w:autoSpaceDN w:val="0"/>
        <w:autoSpaceDE w:val="0"/>
        <w:widowControl/>
        <w:spacing w:line="245" w:lineRule="auto" w:before="346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Piracicaba,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dia 26 de junho de 2015, analisou e aprovou o Parecer Consolidado nº 24/2015,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índices diferenciados e escalonados do reajuste extraordinário estabelecido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para as Tarifas de Água e Esgoto do Serviço Municipal de Água e Esgoto – SEMAE e; </w:t>
      </w:r>
    </w:p>
    <w:p>
      <w:pPr>
        <w:autoSpaceDN w:val="0"/>
        <w:autoSpaceDE w:val="0"/>
        <w:widowControl/>
        <w:spacing w:line="245" w:lineRule="auto" w:before="346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29 de junho de 2015, </w:t>
      </w:r>
    </w:p>
    <w:p>
      <w:pPr>
        <w:autoSpaceDN w:val="0"/>
        <w:tabs>
          <w:tab w:pos="10344" w:val="left"/>
        </w:tabs>
        <w:autoSpaceDE w:val="0"/>
        <w:widowControl/>
        <w:spacing w:line="197" w:lineRule="auto" w:before="594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89 – 29/06/2015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10001250</wp:posOffset>
            </wp:positionV>
            <wp:extent cx="7561580" cy="6921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0"/>
        <w:ind w:left="14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extraordinariamente os atuais valores das Tarifas de Água e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praticadas pelo Serviço Municipal de Água e Esgoto - SEMAE de Piracicaba, com índices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diferenciados e escalonados por Categorias de Usuários e Faixas de Consumo.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- SEMAE de Piracicaba,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Os valores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- SEMAE de Piracicaba, não sofrerão reajuste, permanecendo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mesmos valores fixados pela Resolução ARES-PCJ nº 77, de 29 de janeiro de 2015. </w:t>
      </w:r>
    </w:p>
    <w:p>
      <w:pPr>
        <w:autoSpaceDN w:val="0"/>
        <w:autoSpaceDE w:val="0"/>
        <w:widowControl/>
        <w:spacing w:line="245" w:lineRule="auto" w:before="346" w:after="0"/>
        <w:ind w:left="1410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das Tarifas de Água e Esgoto a serem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- SEMAE de Piracicaba entrarão em vigor 30 (trinta) dias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e/ou Ato Administrativo específico na imprensa oficial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0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Serviço Municipal de Água e Esgoto - SEMAE de Piracicaba obedecerá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a realização das leituras e medições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emissões das Contas/Faturas. </w:t>
      </w:r>
    </w:p>
    <w:p>
      <w:pPr>
        <w:autoSpaceDN w:val="0"/>
        <w:autoSpaceDE w:val="0"/>
        <w:widowControl/>
        <w:spacing w:line="245" w:lineRule="auto" w:before="346" w:after="0"/>
        <w:ind w:left="1410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Serviço Municipal de Água e Esgoto - SEMAE de Piracicaba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estabelecidos nesta Resolução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e, através de mensagens em suas Contas/Faturas, informará que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foram reajustados extraordinariamente pela Agência Reguladora PCJ e o início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vigência desses novos valores. </w:t>
      </w:r>
    </w:p>
    <w:p>
      <w:pPr>
        <w:autoSpaceDN w:val="0"/>
        <w:autoSpaceDE w:val="0"/>
        <w:widowControl/>
        <w:spacing w:line="197" w:lineRule="auto" w:before="346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20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44" w:val="left"/>
        </w:tabs>
        <w:autoSpaceDE w:val="0"/>
        <w:widowControl/>
        <w:spacing w:line="197" w:lineRule="auto" w:before="2108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89 – 29/06/2015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10001250</wp:posOffset>
            </wp:positionV>
            <wp:extent cx="7561580" cy="6921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89, DE 29 DE JUNHO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SANITÁRIO - AGOSTO/2015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36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302"/>
        </w:trPr>
        <w:tc>
          <w:tcPr>
            <w:tcW w:type="dxa" w:w="8224"/>
            <w:gridSpan w:val="5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02"/>
        </w:trPr>
        <w:tc>
          <w:tcPr>
            <w:tcW w:type="dxa" w:w="2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2"/>
        </w:trPr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10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27,00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4,64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6,66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9,52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5,62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5,62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11,24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12,66 </w:t>
            </w:r>
          </w:p>
        </w:tc>
      </w:tr>
      <w:tr>
        <w:trPr>
          <w:trHeight w:hRule="exact" w:val="300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14,36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16,76 </w:t>
            </w:r>
          </w:p>
        </w:tc>
      </w:tr>
      <w:tr>
        <w:trPr>
          <w:trHeight w:hRule="exact" w:val="30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19,04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36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304"/>
        </w:trPr>
        <w:tc>
          <w:tcPr>
            <w:tcW w:type="dxa" w:w="8224"/>
            <w:gridSpan w:val="5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COMERCIAL, PÚBLICO E CONSTRUÇÃO </w:t>
            </w:r>
          </w:p>
        </w:tc>
      </w:tr>
      <w:tr>
        <w:trPr>
          <w:trHeight w:hRule="exact" w:val="302"/>
        </w:trPr>
        <w:tc>
          <w:tcPr>
            <w:tcW w:type="dxa" w:w="2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10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62,60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8,96 </w:t>
            </w:r>
          </w:p>
        </w:tc>
      </w:tr>
      <w:tr>
        <w:trPr>
          <w:trHeight w:hRule="exact" w:val="300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11,16 </w:t>
            </w:r>
          </w:p>
        </w:tc>
      </w:tr>
      <w:tr>
        <w:trPr>
          <w:trHeight w:hRule="exact" w:val="308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16,64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20,00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25,30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26,68 </w:t>
            </w:r>
          </w:p>
        </w:tc>
      </w:tr>
      <w:tr>
        <w:trPr>
          <w:trHeight w:hRule="exact" w:val="306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14,75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14,75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29,50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31,04 </w:t>
            </w:r>
          </w:p>
        </w:tc>
      </w:tr>
    </w:tbl>
    <w:p>
      <w:pPr>
        <w:autoSpaceDN w:val="0"/>
        <w:autoSpaceDE w:val="0"/>
        <w:widowControl/>
        <w:spacing w:line="3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2.0" w:type="dxa"/>
      </w:tblPr>
      <w:tblGrid>
        <w:gridCol w:w="5229"/>
        <w:gridCol w:w="5229"/>
      </w:tblGrid>
      <w:tr>
        <w:trPr>
          <w:trHeight w:hRule="exact" w:val="262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89 – 29/06/2015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10001250</wp:posOffset>
            </wp:positionV>
            <wp:extent cx="7561580" cy="6921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84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36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302"/>
        </w:trPr>
        <w:tc>
          <w:tcPr>
            <w:tcW w:type="dxa" w:w="8224"/>
            <w:gridSpan w:val="5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06"/>
        </w:trPr>
        <w:tc>
          <w:tcPr>
            <w:tcW w:type="dxa" w:w="2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2"/>
        </w:trPr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10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69,00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4,80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4,80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9,60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12,44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17,90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22,04 </w:t>
            </w:r>
          </w:p>
        </w:tc>
      </w:tr>
      <w:tr>
        <w:trPr>
          <w:trHeight w:hRule="exact" w:val="300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26,94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28,16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30,70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16,12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16,12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32,24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36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302"/>
        </w:trPr>
        <w:tc>
          <w:tcPr>
            <w:tcW w:type="dxa" w:w="8224"/>
            <w:gridSpan w:val="5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HORTA </w:t>
            </w:r>
          </w:p>
        </w:tc>
      </w:tr>
      <w:tr>
        <w:trPr>
          <w:trHeight w:hRule="exact" w:val="304"/>
        </w:trPr>
        <w:tc>
          <w:tcPr>
            <w:tcW w:type="dxa" w:w="283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2092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92"/>
            <w:vMerge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10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7,70 </w:t>
            </w:r>
          </w:p>
        </w:tc>
      </w:tr>
      <w:tr>
        <w:trPr>
          <w:trHeight w:hRule="exact" w:val="300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1,02 </w:t>
            </w:r>
          </w:p>
        </w:tc>
      </w:tr>
      <w:tr>
        <w:trPr>
          <w:trHeight w:hRule="exact" w:val="30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1,37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2,70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2,80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2,98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3,58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4,30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4,30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 </w:t>
      </w:r>
    </w:p>
    <w:p>
      <w:pPr>
        <w:autoSpaceDN w:val="0"/>
        <w:tabs>
          <w:tab w:pos="10344" w:val="left"/>
        </w:tabs>
        <w:autoSpaceDE w:val="0"/>
        <w:widowControl/>
        <w:spacing w:line="197" w:lineRule="auto" w:before="4486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89 – 29/06/2015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10001250</wp:posOffset>
            </wp:positionV>
            <wp:extent cx="7561580" cy="6921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0" w:left="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